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9"/>
        <w:rPr>
          <w:rFonts w:hAnsi="宋体"/>
          <w:b/>
          <w:bCs/>
          <w:sz w:val="36"/>
          <w:szCs w:val="21"/>
        </w:rPr>
      </w:pPr>
    </w:p>
    <w:p>
      <w:pPr>
        <w:spacing w:before="100"/>
        <w:jc w:val="center"/>
        <w:rPr>
          <w:rFonts w:ascii="宋体" w:hAnsi="宋体" w:eastAsia="宋体"/>
          <w:b/>
          <w:sz w:val="52"/>
          <w:szCs w:val="48"/>
          <w:lang w:val="zh-CN"/>
        </w:rPr>
      </w:pPr>
      <w:r>
        <w:rPr>
          <w:rFonts w:hint="eastAsia" w:ascii="宋体" w:hAnsi="宋体" w:eastAsia="宋体"/>
          <w:b/>
          <w:sz w:val="48"/>
          <w:szCs w:val="44"/>
          <w:lang w:val="zh-CN"/>
        </w:rPr>
        <w:t>2024年化验科部分检验设备维保项目</w:t>
      </w:r>
    </w:p>
    <w:p>
      <w:pPr>
        <w:jc w:val="center"/>
        <w:rPr>
          <w:rFonts w:ascii="宋体" w:hAnsi="宋体" w:eastAsia="宋体"/>
          <w:b/>
          <w:sz w:val="40"/>
          <w:szCs w:val="40"/>
        </w:rPr>
      </w:pPr>
    </w:p>
    <w:p>
      <w:pPr>
        <w:jc w:val="center"/>
        <w:rPr>
          <w:rFonts w:ascii="宋体" w:hAnsi="宋体" w:eastAsia="宋体"/>
          <w:b/>
          <w:color w:val="000000"/>
          <w:sz w:val="32"/>
          <w:szCs w:val="28"/>
        </w:rPr>
      </w:pPr>
      <w:r>
        <w:rPr>
          <w:rFonts w:hint="eastAsia" w:ascii="宋体" w:hAnsi="宋体" w:eastAsia="宋体"/>
          <w:b/>
          <w:sz w:val="56"/>
          <w:szCs w:val="52"/>
        </w:rPr>
        <w:t>竞价文件</w:t>
      </w:r>
    </w:p>
    <w:p>
      <w:pPr>
        <w:jc w:val="center"/>
        <w:rPr>
          <w:rFonts w:ascii="宋体" w:hAnsi="宋体" w:eastAsia="宋体"/>
          <w:b/>
          <w:color w:val="000000"/>
          <w:sz w:val="28"/>
          <w:szCs w:val="28"/>
        </w:rPr>
      </w:pPr>
    </w:p>
    <w:p>
      <w:pPr>
        <w:spacing w:before="100"/>
        <w:ind w:firstLine="566" w:firstLineChars="141"/>
        <w:jc w:val="left"/>
        <w:rPr>
          <w:rFonts w:ascii="宋体" w:hAnsi="宋体" w:eastAsia="宋体"/>
          <w:b/>
          <w:sz w:val="40"/>
          <w:szCs w:val="32"/>
          <w:lang w:val="zh-CN"/>
        </w:rPr>
      </w:pPr>
      <w:r>
        <w:rPr>
          <w:rFonts w:hint="eastAsia" w:ascii="宋体" w:hAnsi="宋体" w:eastAsia="宋体"/>
          <w:b/>
          <w:sz w:val="40"/>
          <w:szCs w:val="32"/>
          <w:lang w:val="zh-CN"/>
        </w:rPr>
        <w:t>项目编号：CGXM2311170004</w:t>
      </w:r>
    </w:p>
    <w:p>
      <w:pPr>
        <w:spacing w:before="100"/>
        <w:ind w:firstLine="566" w:firstLineChars="141"/>
        <w:jc w:val="left"/>
        <w:rPr>
          <w:rFonts w:ascii="宋体" w:hAnsi="宋体" w:eastAsia="宋体"/>
          <w:b/>
          <w:sz w:val="40"/>
          <w:szCs w:val="32"/>
          <w:lang w:val="zh-CN"/>
        </w:rPr>
      </w:pPr>
      <w:r>
        <w:rPr>
          <w:rFonts w:hint="eastAsia" w:ascii="宋体" w:hAnsi="宋体" w:eastAsia="宋体"/>
          <w:b/>
          <w:sz w:val="40"/>
          <w:szCs w:val="32"/>
          <w:lang w:val="zh-CN"/>
        </w:rPr>
        <w:t>项目类型：</w:t>
      </w:r>
      <w:r>
        <w:rPr>
          <w:rFonts w:hint="eastAsia" w:ascii="宋体" w:hAnsi="宋体" w:eastAsia="宋体"/>
          <w:b/>
          <w:sz w:val="40"/>
          <w:szCs w:val="32"/>
        </w:rPr>
        <w:t>服务</w:t>
      </w:r>
      <w:r>
        <w:rPr>
          <w:rFonts w:hint="eastAsia" w:ascii="宋体" w:hAnsi="宋体" w:eastAsia="宋体"/>
          <w:b/>
          <w:sz w:val="40"/>
          <w:szCs w:val="32"/>
          <w:lang w:val="zh-CN"/>
        </w:rPr>
        <w:t>类</w:t>
      </w:r>
    </w:p>
    <w:p>
      <w:pPr>
        <w:pStyle w:val="2"/>
        <w:jc w:val="center"/>
        <w:rPr>
          <w:rFonts w:ascii="宋体" w:hAnsi="宋体"/>
          <w:b/>
          <w:color w:val="000000"/>
          <w:sz w:val="28"/>
          <w:szCs w:val="28"/>
        </w:rPr>
      </w:pPr>
      <w:r>
        <w:rPr>
          <w:rFonts w:ascii="宋体" w:hAnsi="宋体" w:cs="宋体"/>
          <w:b/>
          <w:sz w:val="52"/>
          <w:szCs w:val="52"/>
        </w:rPr>
        <w:drawing>
          <wp:inline distT="0" distB="0" distL="0" distR="0">
            <wp:extent cx="3317875" cy="3550285"/>
            <wp:effectExtent l="19050" t="0" r="0" b="0"/>
            <wp:docPr id="3" name="图片 1" descr="说明: 微信图片_20171208085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说明: 微信图片_20171208085759"/>
                    <pic:cNvPicPr>
                      <a:picLocks noChangeAspect="1" noChangeArrowheads="1"/>
                    </pic:cNvPicPr>
                  </pic:nvPicPr>
                  <pic:blipFill>
                    <a:blip r:embed="rId6"/>
                    <a:srcRect/>
                    <a:stretch>
                      <a:fillRect/>
                    </a:stretch>
                  </pic:blipFill>
                  <pic:spPr>
                    <a:xfrm>
                      <a:off x="0" y="0"/>
                      <a:ext cx="3317916" cy="3550752"/>
                    </a:xfrm>
                    <a:prstGeom prst="rect">
                      <a:avLst/>
                    </a:prstGeom>
                    <a:noFill/>
                    <a:ln w="9525">
                      <a:noFill/>
                      <a:miter lim="800000"/>
                      <a:headEnd/>
                      <a:tailEnd/>
                    </a:ln>
                  </pic:spPr>
                </pic:pic>
              </a:graphicData>
            </a:graphic>
          </wp:inline>
        </w:drawing>
      </w:r>
    </w:p>
    <w:p>
      <w:pPr>
        <w:spacing w:before="100"/>
        <w:ind w:firstLine="707" w:firstLineChars="220"/>
        <w:jc w:val="left"/>
        <w:rPr>
          <w:rFonts w:hint="eastAsia" w:ascii="宋体" w:hAnsi="宋体" w:eastAsia="宋体"/>
          <w:b/>
          <w:sz w:val="32"/>
          <w:lang w:eastAsia="zh-CN"/>
        </w:rPr>
      </w:pPr>
      <w:r>
        <w:rPr>
          <w:rFonts w:hint="eastAsia" w:ascii="宋体" w:hAnsi="宋体" w:eastAsia="宋体"/>
          <w:b/>
          <w:sz w:val="32"/>
        </w:rPr>
        <w:t>采  购  人：</w:t>
      </w:r>
      <w:r>
        <w:rPr>
          <w:rFonts w:hint="eastAsia" w:ascii="宋体" w:hAnsi="宋体" w:eastAsia="宋体"/>
          <w:b/>
          <w:sz w:val="32"/>
          <w:lang w:eastAsia="zh-CN"/>
        </w:rPr>
        <w:t>深圳市公安局刑事警察支队</w:t>
      </w:r>
    </w:p>
    <w:p>
      <w:pPr>
        <w:spacing w:before="100" w:line="600" w:lineRule="exact"/>
        <w:ind w:firstLine="707" w:firstLineChars="220"/>
        <w:jc w:val="left"/>
        <w:rPr>
          <w:rFonts w:ascii="宋体" w:hAnsi="宋体" w:eastAsia="宋体"/>
          <w:b/>
          <w:sz w:val="32"/>
        </w:rPr>
      </w:pPr>
      <w:r>
        <w:rPr>
          <w:rFonts w:hint="eastAsia" w:ascii="宋体" w:hAnsi="宋体" w:eastAsia="宋体"/>
          <w:b/>
          <w:sz w:val="32"/>
        </w:rPr>
        <w:t>采购代理机构：中吉国际项目管理有限公司</w:t>
      </w:r>
    </w:p>
    <w:p>
      <w:pPr>
        <w:spacing w:before="100" w:line="600" w:lineRule="exact"/>
        <w:jc w:val="center"/>
        <w:rPr>
          <w:rFonts w:ascii="宋体" w:hAnsi="宋体" w:eastAsia="宋体"/>
          <w:b/>
          <w:sz w:val="32"/>
        </w:rPr>
      </w:pPr>
      <w:r>
        <w:rPr>
          <w:rFonts w:hint="eastAsia" w:ascii="宋体" w:hAnsi="宋体" w:eastAsia="宋体"/>
          <w:b/>
          <w:sz w:val="32"/>
        </w:rPr>
        <w:t>二零二三年十一月</w:t>
      </w:r>
    </w:p>
    <w:p>
      <w:pPr>
        <w:widowControl/>
        <w:jc w:val="left"/>
      </w:pPr>
      <w:r>
        <w:br w:type="page"/>
      </w:r>
    </w:p>
    <w:p>
      <w:pPr>
        <w:pStyle w:val="4"/>
        <w:rPr>
          <w:rFonts w:ascii="宋体" w:hAnsi="宋体"/>
          <w:sz w:val="44"/>
          <w:szCs w:val="32"/>
        </w:rPr>
      </w:pPr>
      <w:bookmarkStart w:id="0" w:name="_Toc66183292"/>
      <w:bookmarkStart w:id="1" w:name="_Toc67411728"/>
      <w:bookmarkStart w:id="2" w:name="_Toc68772394"/>
      <w:bookmarkStart w:id="3" w:name="_Toc10039"/>
      <w:bookmarkStart w:id="4" w:name="_Toc64586398"/>
      <w:bookmarkStart w:id="5" w:name="_Toc68769459"/>
      <w:bookmarkStart w:id="6" w:name="_Toc3766"/>
      <w:bookmarkStart w:id="7" w:name="_Toc55308008"/>
      <w:bookmarkStart w:id="8" w:name="_Toc20792"/>
      <w:bookmarkStart w:id="9" w:name="_Toc18504"/>
      <w:r>
        <w:rPr>
          <w:rFonts w:hint="eastAsia" w:ascii="宋体" w:hAnsi="宋体"/>
          <w:sz w:val="44"/>
          <w:szCs w:val="32"/>
        </w:rPr>
        <w:t>目 录</w:t>
      </w:r>
      <w:bookmarkEnd w:id="0"/>
      <w:bookmarkEnd w:id="1"/>
      <w:bookmarkEnd w:id="2"/>
      <w:bookmarkEnd w:id="3"/>
      <w:bookmarkEnd w:id="4"/>
      <w:bookmarkEnd w:id="5"/>
      <w:bookmarkEnd w:id="6"/>
      <w:bookmarkEnd w:id="7"/>
      <w:bookmarkEnd w:id="8"/>
      <w:bookmarkEnd w:id="9"/>
    </w:p>
    <w:p>
      <w:pPr>
        <w:pStyle w:val="18"/>
        <w:tabs>
          <w:tab w:val="right" w:leader="dot" w:pos="8116"/>
        </w:tabs>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fldChar w:fldCharType="begin"/>
      </w:r>
      <w:r>
        <w:rPr>
          <w:rFonts w:hint="eastAsia" w:asciiTheme="minorEastAsia" w:hAnsiTheme="minorEastAsia" w:eastAsiaTheme="minorEastAsia" w:cstheme="minorEastAsia"/>
          <w:sz w:val="21"/>
          <w:szCs w:val="21"/>
        </w:rPr>
        <w:instrText xml:space="preserve"> TOC \o "1-3" \h \z \u </w:instrText>
      </w:r>
      <w:r>
        <w:rPr>
          <w:rFonts w:hint="eastAsia" w:asciiTheme="minorEastAsia" w:hAnsiTheme="minorEastAsia" w:eastAsiaTheme="minorEastAsia" w:cstheme="minorEastAsia"/>
          <w:sz w:val="21"/>
          <w:szCs w:val="21"/>
        </w:rPr>
        <w:fldChar w:fldCharType="separate"/>
      </w:r>
      <w:r>
        <w:fldChar w:fldCharType="begin"/>
      </w:r>
      <w:r>
        <w:instrText xml:space="preserve"> HYPERLINK \l "_Toc3766" </w:instrText>
      </w:r>
      <w:r>
        <w:fldChar w:fldCharType="separate"/>
      </w:r>
      <w:r>
        <w:rPr>
          <w:rFonts w:hint="eastAsia" w:asciiTheme="minorEastAsia" w:hAnsiTheme="minorEastAsia" w:eastAsiaTheme="minorEastAsia" w:cstheme="minorEastAsia"/>
          <w:sz w:val="21"/>
          <w:szCs w:val="21"/>
        </w:rPr>
        <w:t>目 录</w:t>
      </w:r>
      <w:r>
        <w:rPr>
          <w:rFonts w:hint="eastAsia" w:asciiTheme="minorEastAsia" w:hAnsiTheme="minorEastAsia" w:eastAsiaTheme="minorEastAsia" w:cstheme="minorEastAsia"/>
          <w:sz w:val="21"/>
          <w:szCs w:val="21"/>
        </w:rPr>
        <w:tab/>
      </w:r>
      <w:r>
        <w:rPr>
          <w:rFonts w:hint="eastAsia" w:asciiTheme="minorEastAsia" w:hAnsiTheme="minorEastAsia" w:eastAsiaTheme="minorEastAsia" w:cstheme="minorEastAsia"/>
          <w:sz w:val="21"/>
          <w:szCs w:val="21"/>
        </w:rPr>
        <w:fldChar w:fldCharType="begin"/>
      </w:r>
      <w:r>
        <w:rPr>
          <w:rFonts w:hint="eastAsia" w:asciiTheme="minorEastAsia" w:hAnsiTheme="minorEastAsia" w:eastAsiaTheme="minorEastAsia" w:cstheme="minorEastAsia"/>
          <w:sz w:val="21"/>
          <w:szCs w:val="21"/>
        </w:rPr>
        <w:instrText xml:space="preserve"> PAGEREF _Toc3766 \h </w:instrText>
      </w:r>
      <w:r>
        <w:rPr>
          <w:rFonts w:hint="eastAsia" w:asciiTheme="minorEastAsia" w:hAnsiTheme="minorEastAsia" w:eastAsiaTheme="minorEastAsia" w:cstheme="minorEastAsia"/>
          <w:sz w:val="21"/>
          <w:szCs w:val="21"/>
        </w:rPr>
        <w:fldChar w:fldCharType="separate"/>
      </w:r>
      <w:r>
        <w:rPr>
          <w:rFonts w:hint="eastAsia" w:asciiTheme="minorEastAsia" w:hAnsiTheme="minorEastAsia" w:eastAsiaTheme="minorEastAsia" w:cstheme="minorEastAsia"/>
          <w:sz w:val="21"/>
          <w:szCs w:val="21"/>
        </w:rPr>
        <w:t>2</w:t>
      </w:r>
      <w:r>
        <w:rPr>
          <w:rFonts w:hint="eastAsia" w:asciiTheme="minorEastAsia" w:hAnsiTheme="minorEastAsia" w:eastAsiaTheme="minorEastAsia" w:cstheme="minorEastAsia"/>
          <w:sz w:val="21"/>
          <w:szCs w:val="21"/>
        </w:rPr>
        <w:fldChar w:fldCharType="end"/>
      </w:r>
      <w:r>
        <w:rPr>
          <w:rFonts w:hint="eastAsia" w:asciiTheme="minorEastAsia" w:hAnsiTheme="minorEastAsia" w:eastAsiaTheme="minorEastAsia" w:cstheme="minorEastAsia"/>
          <w:sz w:val="21"/>
          <w:szCs w:val="21"/>
        </w:rPr>
        <w:fldChar w:fldCharType="end"/>
      </w:r>
    </w:p>
    <w:p>
      <w:pPr>
        <w:pStyle w:val="18"/>
        <w:tabs>
          <w:tab w:val="right" w:leader="dot" w:pos="8116"/>
        </w:tabs>
        <w:rPr>
          <w:rFonts w:asciiTheme="minorEastAsia" w:hAnsiTheme="minorEastAsia" w:eastAsiaTheme="minorEastAsia" w:cstheme="minorEastAsia"/>
          <w:sz w:val="21"/>
          <w:szCs w:val="21"/>
        </w:rPr>
      </w:pPr>
      <w:r>
        <w:fldChar w:fldCharType="begin"/>
      </w:r>
      <w:r>
        <w:instrText xml:space="preserve"> HYPERLINK \l "_Toc13059" </w:instrText>
      </w:r>
      <w:r>
        <w:fldChar w:fldCharType="separate"/>
      </w:r>
      <w:r>
        <w:rPr>
          <w:rFonts w:hint="eastAsia" w:asciiTheme="minorEastAsia" w:hAnsiTheme="minorEastAsia" w:eastAsiaTheme="minorEastAsia" w:cstheme="minorEastAsia"/>
          <w:sz w:val="21"/>
          <w:szCs w:val="21"/>
        </w:rPr>
        <w:t>第一章  竞价公告</w:t>
      </w:r>
      <w:r>
        <w:rPr>
          <w:rFonts w:hint="eastAsia" w:asciiTheme="minorEastAsia" w:hAnsiTheme="minorEastAsia" w:eastAsiaTheme="minorEastAsia" w:cstheme="minorEastAsia"/>
          <w:sz w:val="21"/>
          <w:szCs w:val="21"/>
        </w:rPr>
        <w:tab/>
      </w:r>
      <w:r>
        <w:rPr>
          <w:rFonts w:hint="eastAsia" w:asciiTheme="minorEastAsia" w:hAnsiTheme="minorEastAsia" w:eastAsiaTheme="minorEastAsia" w:cstheme="minorEastAsia"/>
          <w:sz w:val="21"/>
          <w:szCs w:val="21"/>
        </w:rPr>
        <w:fldChar w:fldCharType="begin"/>
      </w:r>
      <w:r>
        <w:rPr>
          <w:rFonts w:hint="eastAsia" w:asciiTheme="minorEastAsia" w:hAnsiTheme="minorEastAsia" w:eastAsiaTheme="minorEastAsia" w:cstheme="minorEastAsia"/>
          <w:sz w:val="21"/>
          <w:szCs w:val="21"/>
        </w:rPr>
        <w:instrText xml:space="preserve"> PAGEREF _Toc13059 \h </w:instrText>
      </w:r>
      <w:r>
        <w:rPr>
          <w:rFonts w:hint="eastAsia" w:asciiTheme="minorEastAsia" w:hAnsiTheme="minorEastAsia" w:eastAsiaTheme="minorEastAsia" w:cstheme="minorEastAsia"/>
          <w:sz w:val="21"/>
          <w:szCs w:val="21"/>
        </w:rPr>
        <w:fldChar w:fldCharType="separate"/>
      </w:r>
      <w:r>
        <w:rPr>
          <w:rFonts w:hint="eastAsia" w:asciiTheme="minorEastAsia" w:hAnsiTheme="minorEastAsia" w:eastAsiaTheme="minorEastAsia" w:cstheme="minorEastAsia"/>
          <w:sz w:val="21"/>
          <w:szCs w:val="21"/>
        </w:rPr>
        <w:t>3</w:t>
      </w:r>
      <w:r>
        <w:rPr>
          <w:rFonts w:hint="eastAsia" w:asciiTheme="minorEastAsia" w:hAnsiTheme="minorEastAsia" w:eastAsiaTheme="minorEastAsia" w:cstheme="minorEastAsia"/>
          <w:sz w:val="21"/>
          <w:szCs w:val="21"/>
        </w:rPr>
        <w:fldChar w:fldCharType="end"/>
      </w:r>
      <w:r>
        <w:rPr>
          <w:rFonts w:hint="eastAsia" w:asciiTheme="minorEastAsia" w:hAnsiTheme="minorEastAsia" w:eastAsiaTheme="minorEastAsia" w:cstheme="minorEastAsia"/>
          <w:sz w:val="21"/>
          <w:szCs w:val="21"/>
        </w:rPr>
        <w:fldChar w:fldCharType="end"/>
      </w:r>
    </w:p>
    <w:p>
      <w:pPr>
        <w:pStyle w:val="21"/>
        <w:tabs>
          <w:tab w:val="right" w:leader="dot" w:pos="8116"/>
        </w:tabs>
        <w:rPr>
          <w:rFonts w:asciiTheme="minorEastAsia" w:hAnsiTheme="minorEastAsia" w:eastAsiaTheme="minorEastAsia" w:cstheme="minorEastAsia"/>
          <w:sz w:val="21"/>
          <w:szCs w:val="21"/>
        </w:rPr>
      </w:pPr>
      <w:r>
        <w:fldChar w:fldCharType="begin"/>
      </w:r>
      <w:r>
        <w:instrText xml:space="preserve"> HYPERLINK \l "_Toc27428" </w:instrText>
      </w:r>
      <w:r>
        <w:fldChar w:fldCharType="separate"/>
      </w:r>
      <w:r>
        <w:rPr>
          <w:rFonts w:hint="eastAsia" w:asciiTheme="minorEastAsia" w:hAnsiTheme="minorEastAsia" w:eastAsiaTheme="minorEastAsia" w:cstheme="minorEastAsia"/>
          <w:sz w:val="21"/>
          <w:szCs w:val="21"/>
        </w:rPr>
        <w:t>一、项目基本情况</w:t>
      </w:r>
      <w:r>
        <w:rPr>
          <w:rFonts w:hint="eastAsia" w:asciiTheme="minorEastAsia" w:hAnsiTheme="minorEastAsia" w:eastAsiaTheme="minorEastAsia" w:cstheme="minorEastAsia"/>
          <w:sz w:val="21"/>
          <w:szCs w:val="21"/>
        </w:rPr>
        <w:tab/>
      </w:r>
      <w:r>
        <w:rPr>
          <w:rFonts w:hint="eastAsia" w:asciiTheme="minorEastAsia" w:hAnsiTheme="minorEastAsia" w:eastAsiaTheme="minorEastAsia" w:cstheme="minorEastAsia"/>
          <w:sz w:val="21"/>
          <w:szCs w:val="21"/>
        </w:rPr>
        <w:fldChar w:fldCharType="begin"/>
      </w:r>
      <w:r>
        <w:rPr>
          <w:rFonts w:hint="eastAsia" w:asciiTheme="minorEastAsia" w:hAnsiTheme="minorEastAsia" w:eastAsiaTheme="minorEastAsia" w:cstheme="minorEastAsia"/>
          <w:sz w:val="21"/>
          <w:szCs w:val="21"/>
        </w:rPr>
        <w:instrText xml:space="preserve"> PAGEREF _Toc27428 \h </w:instrText>
      </w:r>
      <w:r>
        <w:rPr>
          <w:rFonts w:hint="eastAsia" w:asciiTheme="minorEastAsia" w:hAnsiTheme="minorEastAsia" w:eastAsiaTheme="minorEastAsia" w:cstheme="minorEastAsia"/>
          <w:sz w:val="21"/>
          <w:szCs w:val="21"/>
        </w:rPr>
        <w:fldChar w:fldCharType="separate"/>
      </w:r>
      <w:r>
        <w:rPr>
          <w:rFonts w:hint="eastAsia" w:asciiTheme="minorEastAsia" w:hAnsiTheme="minorEastAsia" w:eastAsiaTheme="minorEastAsia" w:cstheme="minorEastAsia"/>
          <w:sz w:val="21"/>
          <w:szCs w:val="21"/>
        </w:rPr>
        <w:t>3</w:t>
      </w:r>
      <w:r>
        <w:rPr>
          <w:rFonts w:hint="eastAsia" w:asciiTheme="minorEastAsia" w:hAnsiTheme="minorEastAsia" w:eastAsiaTheme="minorEastAsia" w:cstheme="minorEastAsia"/>
          <w:sz w:val="21"/>
          <w:szCs w:val="21"/>
        </w:rPr>
        <w:fldChar w:fldCharType="end"/>
      </w:r>
      <w:r>
        <w:rPr>
          <w:rFonts w:hint="eastAsia" w:asciiTheme="minorEastAsia" w:hAnsiTheme="minorEastAsia" w:eastAsiaTheme="minorEastAsia" w:cstheme="minorEastAsia"/>
          <w:sz w:val="21"/>
          <w:szCs w:val="21"/>
        </w:rPr>
        <w:fldChar w:fldCharType="end"/>
      </w:r>
    </w:p>
    <w:p>
      <w:pPr>
        <w:pStyle w:val="21"/>
        <w:tabs>
          <w:tab w:val="right" w:leader="dot" w:pos="8116"/>
        </w:tabs>
        <w:rPr>
          <w:rFonts w:asciiTheme="minorEastAsia" w:hAnsiTheme="minorEastAsia" w:eastAsiaTheme="minorEastAsia" w:cstheme="minorEastAsia"/>
          <w:sz w:val="21"/>
          <w:szCs w:val="21"/>
        </w:rPr>
      </w:pPr>
      <w:r>
        <w:fldChar w:fldCharType="begin"/>
      </w:r>
      <w:r>
        <w:instrText xml:space="preserve"> HYPERLINK \l "_Toc29595" </w:instrText>
      </w:r>
      <w:r>
        <w:fldChar w:fldCharType="separate"/>
      </w:r>
      <w:r>
        <w:rPr>
          <w:rFonts w:hint="eastAsia" w:asciiTheme="minorEastAsia" w:hAnsiTheme="minorEastAsia" w:eastAsiaTheme="minorEastAsia" w:cstheme="minorEastAsia"/>
          <w:sz w:val="21"/>
          <w:szCs w:val="21"/>
        </w:rPr>
        <w:t>二、供应商资格及要求</w:t>
      </w:r>
      <w:r>
        <w:rPr>
          <w:rFonts w:hint="eastAsia" w:asciiTheme="minorEastAsia" w:hAnsiTheme="minorEastAsia" w:eastAsiaTheme="minorEastAsia" w:cstheme="minorEastAsia"/>
          <w:sz w:val="21"/>
          <w:szCs w:val="21"/>
        </w:rPr>
        <w:tab/>
      </w:r>
      <w:r>
        <w:rPr>
          <w:rFonts w:hint="eastAsia" w:asciiTheme="minorEastAsia" w:hAnsiTheme="minorEastAsia" w:eastAsiaTheme="minorEastAsia" w:cstheme="minorEastAsia"/>
          <w:sz w:val="21"/>
          <w:szCs w:val="21"/>
        </w:rPr>
        <w:fldChar w:fldCharType="begin"/>
      </w:r>
      <w:r>
        <w:rPr>
          <w:rFonts w:hint="eastAsia" w:asciiTheme="minorEastAsia" w:hAnsiTheme="minorEastAsia" w:eastAsiaTheme="minorEastAsia" w:cstheme="minorEastAsia"/>
          <w:sz w:val="21"/>
          <w:szCs w:val="21"/>
        </w:rPr>
        <w:instrText xml:space="preserve"> PAGEREF _Toc29595 \h </w:instrText>
      </w:r>
      <w:r>
        <w:rPr>
          <w:rFonts w:hint="eastAsia" w:asciiTheme="minorEastAsia" w:hAnsiTheme="minorEastAsia" w:eastAsiaTheme="minorEastAsia" w:cstheme="minorEastAsia"/>
          <w:sz w:val="21"/>
          <w:szCs w:val="21"/>
        </w:rPr>
        <w:fldChar w:fldCharType="separate"/>
      </w:r>
      <w:r>
        <w:rPr>
          <w:rFonts w:hint="eastAsia" w:asciiTheme="minorEastAsia" w:hAnsiTheme="minorEastAsia" w:eastAsiaTheme="minorEastAsia" w:cstheme="minorEastAsia"/>
          <w:sz w:val="21"/>
          <w:szCs w:val="21"/>
        </w:rPr>
        <w:t>3</w:t>
      </w:r>
      <w:r>
        <w:rPr>
          <w:rFonts w:hint="eastAsia" w:asciiTheme="minorEastAsia" w:hAnsiTheme="minorEastAsia" w:eastAsiaTheme="minorEastAsia" w:cstheme="minorEastAsia"/>
          <w:sz w:val="21"/>
          <w:szCs w:val="21"/>
        </w:rPr>
        <w:fldChar w:fldCharType="end"/>
      </w:r>
      <w:r>
        <w:rPr>
          <w:rFonts w:hint="eastAsia" w:asciiTheme="minorEastAsia" w:hAnsiTheme="minorEastAsia" w:eastAsiaTheme="minorEastAsia" w:cstheme="minorEastAsia"/>
          <w:sz w:val="21"/>
          <w:szCs w:val="21"/>
        </w:rPr>
        <w:fldChar w:fldCharType="end"/>
      </w:r>
    </w:p>
    <w:p>
      <w:pPr>
        <w:pStyle w:val="21"/>
        <w:tabs>
          <w:tab w:val="right" w:leader="dot" w:pos="8116"/>
        </w:tabs>
        <w:rPr>
          <w:rFonts w:asciiTheme="minorEastAsia" w:hAnsiTheme="minorEastAsia" w:eastAsiaTheme="minorEastAsia" w:cstheme="minorEastAsia"/>
          <w:sz w:val="21"/>
          <w:szCs w:val="21"/>
        </w:rPr>
      </w:pPr>
      <w:r>
        <w:fldChar w:fldCharType="begin"/>
      </w:r>
      <w:r>
        <w:instrText xml:space="preserve"> HYPERLINK \l "_Toc10198" </w:instrText>
      </w:r>
      <w:r>
        <w:fldChar w:fldCharType="separate"/>
      </w:r>
      <w:r>
        <w:rPr>
          <w:rFonts w:hint="eastAsia" w:asciiTheme="minorEastAsia" w:hAnsiTheme="minorEastAsia" w:eastAsiaTheme="minorEastAsia" w:cstheme="minorEastAsia"/>
          <w:sz w:val="21"/>
          <w:szCs w:val="21"/>
        </w:rPr>
        <w:t>三、供应商竞价程序及时间安排</w:t>
      </w:r>
      <w:r>
        <w:rPr>
          <w:rFonts w:hint="eastAsia" w:asciiTheme="minorEastAsia" w:hAnsiTheme="minorEastAsia" w:eastAsiaTheme="minorEastAsia" w:cstheme="minorEastAsia"/>
          <w:sz w:val="21"/>
          <w:szCs w:val="21"/>
        </w:rPr>
        <w:tab/>
      </w:r>
      <w:r>
        <w:rPr>
          <w:rFonts w:hint="eastAsia" w:asciiTheme="minorEastAsia" w:hAnsiTheme="minorEastAsia" w:eastAsiaTheme="minorEastAsia" w:cstheme="minorEastAsia"/>
          <w:sz w:val="21"/>
          <w:szCs w:val="21"/>
        </w:rPr>
        <w:fldChar w:fldCharType="begin"/>
      </w:r>
      <w:r>
        <w:rPr>
          <w:rFonts w:hint="eastAsia" w:asciiTheme="minorEastAsia" w:hAnsiTheme="minorEastAsia" w:eastAsiaTheme="minorEastAsia" w:cstheme="minorEastAsia"/>
          <w:sz w:val="21"/>
          <w:szCs w:val="21"/>
        </w:rPr>
        <w:instrText xml:space="preserve"> PAGEREF _Toc10198 \h </w:instrText>
      </w:r>
      <w:r>
        <w:rPr>
          <w:rFonts w:hint="eastAsia" w:asciiTheme="minorEastAsia" w:hAnsiTheme="minorEastAsia" w:eastAsiaTheme="minorEastAsia" w:cstheme="minorEastAsia"/>
          <w:sz w:val="21"/>
          <w:szCs w:val="21"/>
        </w:rPr>
        <w:fldChar w:fldCharType="separate"/>
      </w:r>
      <w:r>
        <w:rPr>
          <w:rFonts w:hint="eastAsia" w:asciiTheme="minorEastAsia" w:hAnsiTheme="minorEastAsia" w:eastAsiaTheme="minorEastAsia" w:cstheme="minorEastAsia"/>
          <w:sz w:val="21"/>
          <w:szCs w:val="21"/>
        </w:rPr>
        <w:t>4</w:t>
      </w:r>
      <w:r>
        <w:rPr>
          <w:rFonts w:hint="eastAsia" w:asciiTheme="minorEastAsia" w:hAnsiTheme="minorEastAsia" w:eastAsiaTheme="minorEastAsia" w:cstheme="minorEastAsia"/>
          <w:sz w:val="21"/>
          <w:szCs w:val="21"/>
        </w:rPr>
        <w:fldChar w:fldCharType="end"/>
      </w:r>
      <w:r>
        <w:rPr>
          <w:rFonts w:hint="eastAsia" w:asciiTheme="minorEastAsia" w:hAnsiTheme="minorEastAsia" w:eastAsiaTheme="minorEastAsia" w:cstheme="minorEastAsia"/>
          <w:sz w:val="21"/>
          <w:szCs w:val="21"/>
        </w:rPr>
        <w:fldChar w:fldCharType="end"/>
      </w:r>
    </w:p>
    <w:p>
      <w:pPr>
        <w:pStyle w:val="21"/>
        <w:tabs>
          <w:tab w:val="right" w:leader="dot" w:pos="8116"/>
        </w:tabs>
        <w:rPr>
          <w:rFonts w:asciiTheme="minorEastAsia" w:hAnsiTheme="minorEastAsia" w:eastAsiaTheme="minorEastAsia" w:cstheme="minorEastAsia"/>
          <w:sz w:val="21"/>
          <w:szCs w:val="21"/>
        </w:rPr>
      </w:pPr>
      <w:r>
        <w:fldChar w:fldCharType="begin"/>
      </w:r>
      <w:r>
        <w:instrText xml:space="preserve"> HYPERLINK \l "_Toc16818" </w:instrText>
      </w:r>
      <w:r>
        <w:fldChar w:fldCharType="separate"/>
      </w:r>
      <w:r>
        <w:rPr>
          <w:rFonts w:hint="eastAsia" w:asciiTheme="minorEastAsia" w:hAnsiTheme="minorEastAsia" w:eastAsiaTheme="minorEastAsia" w:cstheme="minorEastAsia"/>
          <w:sz w:val="21"/>
          <w:szCs w:val="21"/>
        </w:rPr>
        <w:t>四、竞价文件主要内容</w:t>
      </w:r>
      <w:r>
        <w:rPr>
          <w:rFonts w:hint="eastAsia" w:asciiTheme="minorEastAsia" w:hAnsiTheme="minorEastAsia" w:eastAsiaTheme="minorEastAsia" w:cstheme="minorEastAsia"/>
          <w:sz w:val="21"/>
          <w:szCs w:val="21"/>
        </w:rPr>
        <w:tab/>
      </w:r>
      <w:r>
        <w:rPr>
          <w:rFonts w:hint="eastAsia" w:asciiTheme="minorEastAsia" w:hAnsiTheme="minorEastAsia" w:eastAsiaTheme="minorEastAsia" w:cstheme="minorEastAsia"/>
          <w:sz w:val="21"/>
          <w:szCs w:val="21"/>
        </w:rPr>
        <w:fldChar w:fldCharType="begin"/>
      </w:r>
      <w:r>
        <w:rPr>
          <w:rFonts w:hint="eastAsia" w:asciiTheme="minorEastAsia" w:hAnsiTheme="minorEastAsia" w:eastAsiaTheme="minorEastAsia" w:cstheme="minorEastAsia"/>
          <w:sz w:val="21"/>
          <w:szCs w:val="21"/>
        </w:rPr>
        <w:instrText xml:space="preserve"> PAGEREF _Toc16818 \h </w:instrText>
      </w:r>
      <w:r>
        <w:rPr>
          <w:rFonts w:hint="eastAsia" w:asciiTheme="minorEastAsia" w:hAnsiTheme="minorEastAsia" w:eastAsiaTheme="minorEastAsia" w:cstheme="minorEastAsia"/>
          <w:sz w:val="21"/>
          <w:szCs w:val="21"/>
        </w:rPr>
        <w:fldChar w:fldCharType="separate"/>
      </w:r>
      <w:r>
        <w:rPr>
          <w:rFonts w:hint="eastAsia" w:asciiTheme="minorEastAsia" w:hAnsiTheme="minorEastAsia" w:eastAsiaTheme="minorEastAsia" w:cstheme="minorEastAsia"/>
          <w:sz w:val="21"/>
          <w:szCs w:val="21"/>
        </w:rPr>
        <w:t>5</w:t>
      </w:r>
      <w:r>
        <w:rPr>
          <w:rFonts w:hint="eastAsia" w:asciiTheme="minorEastAsia" w:hAnsiTheme="minorEastAsia" w:eastAsiaTheme="minorEastAsia" w:cstheme="minorEastAsia"/>
          <w:sz w:val="21"/>
          <w:szCs w:val="21"/>
        </w:rPr>
        <w:fldChar w:fldCharType="end"/>
      </w:r>
      <w:r>
        <w:rPr>
          <w:rFonts w:hint="eastAsia" w:asciiTheme="minorEastAsia" w:hAnsiTheme="minorEastAsia" w:eastAsiaTheme="minorEastAsia" w:cstheme="minorEastAsia"/>
          <w:sz w:val="21"/>
          <w:szCs w:val="21"/>
        </w:rPr>
        <w:fldChar w:fldCharType="end"/>
      </w:r>
    </w:p>
    <w:p>
      <w:pPr>
        <w:pStyle w:val="21"/>
        <w:tabs>
          <w:tab w:val="right" w:leader="dot" w:pos="8116"/>
        </w:tabs>
        <w:rPr>
          <w:rFonts w:asciiTheme="minorEastAsia" w:hAnsiTheme="minorEastAsia" w:eastAsiaTheme="minorEastAsia" w:cstheme="minorEastAsia"/>
          <w:sz w:val="21"/>
          <w:szCs w:val="21"/>
        </w:rPr>
      </w:pPr>
      <w:r>
        <w:fldChar w:fldCharType="begin"/>
      </w:r>
      <w:r>
        <w:instrText xml:space="preserve"> HYPERLINK \l "_Toc12841" </w:instrText>
      </w:r>
      <w:r>
        <w:fldChar w:fldCharType="separate"/>
      </w:r>
      <w:r>
        <w:rPr>
          <w:rFonts w:hint="eastAsia" w:asciiTheme="minorEastAsia" w:hAnsiTheme="minorEastAsia" w:eastAsiaTheme="minorEastAsia" w:cstheme="minorEastAsia"/>
          <w:sz w:val="21"/>
          <w:szCs w:val="21"/>
        </w:rPr>
        <w:t>五、竞价成交原则</w:t>
      </w:r>
      <w:r>
        <w:rPr>
          <w:rFonts w:hint="eastAsia" w:asciiTheme="minorEastAsia" w:hAnsiTheme="minorEastAsia" w:eastAsiaTheme="minorEastAsia" w:cstheme="minorEastAsia"/>
          <w:sz w:val="21"/>
          <w:szCs w:val="21"/>
        </w:rPr>
        <w:tab/>
      </w:r>
      <w:r>
        <w:rPr>
          <w:rFonts w:hint="eastAsia" w:asciiTheme="minorEastAsia" w:hAnsiTheme="minorEastAsia" w:eastAsiaTheme="minorEastAsia" w:cstheme="minorEastAsia"/>
          <w:sz w:val="21"/>
          <w:szCs w:val="21"/>
        </w:rPr>
        <w:fldChar w:fldCharType="begin"/>
      </w:r>
      <w:r>
        <w:rPr>
          <w:rFonts w:hint="eastAsia" w:asciiTheme="minorEastAsia" w:hAnsiTheme="minorEastAsia" w:eastAsiaTheme="minorEastAsia" w:cstheme="minorEastAsia"/>
          <w:sz w:val="21"/>
          <w:szCs w:val="21"/>
        </w:rPr>
        <w:instrText xml:space="preserve"> PAGEREF _Toc12841 \h </w:instrText>
      </w:r>
      <w:r>
        <w:rPr>
          <w:rFonts w:hint="eastAsia" w:asciiTheme="minorEastAsia" w:hAnsiTheme="minorEastAsia" w:eastAsiaTheme="minorEastAsia" w:cstheme="minorEastAsia"/>
          <w:sz w:val="21"/>
          <w:szCs w:val="21"/>
        </w:rPr>
        <w:fldChar w:fldCharType="separate"/>
      </w:r>
      <w:r>
        <w:rPr>
          <w:rFonts w:hint="eastAsia" w:asciiTheme="minorEastAsia" w:hAnsiTheme="minorEastAsia" w:eastAsiaTheme="minorEastAsia" w:cstheme="minorEastAsia"/>
          <w:sz w:val="21"/>
          <w:szCs w:val="21"/>
        </w:rPr>
        <w:t>5</w:t>
      </w:r>
      <w:r>
        <w:rPr>
          <w:rFonts w:hint="eastAsia" w:asciiTheme="minorEastAsia" w:hAnsiTheme="minorEastAsia" w:eastAsiaTheme="minorEastAsia" w:cstheme="minorEastAsia"/>
          <w:sz w:val="21"/>
          <w:szCs w:val="21"/>
        </w:rPr>
        <w:fldChar w:fldCharType="end"/>
      </w:r>
      <w:r>
        <w:rPr>
          <w:rFonts w:hint="eastAsia" w:asciiTheme="minorEastAsia" w:hAnsiTheme="minorEastAsia" w:eastAsiaTheme="minorEastAsia" w:cstheme="minorEastAsia"/>
          <w:sz w:val="21"/>
          <w:szCs w:val="21"/>
        </w:rPr>
        <w:fldChar w:fldCharType="end"/>
      </w:r>
    </w:p>
    <w:p>
      <w:pPr>
        <w:pStyle w:val="21"/>
        <w:tabs>
          <w:tab w:val="right" w:leader="dot" w:pos="8116"/>
        </w:tabs>
        <w:rPr>
          <w:rFonts w:asciiTheme="minorEastAsia" w:hAnsiTheme="minorEastAsia" w:eastAsiaTheme="minorEastAsia" w:cstheme="minorEastAsia"/>
          <w:sz w:val="21"/>
          <w:szCs w:val="21"/>
        </w:rPr>
      </w:pPr>
      <w:r>
        <w:fldChar w:fldCharType="begin"/>
      </w:r>
      <w:r>
        <w:instrText xml:space="preserve"> HYPERLINK \l "_Toc16789" </w:instrText>
      </w:r>
      <w:r>
        <w:fldChar w:fldCharType="separate"/>
      </w:r>
      <w:r>
        <w:rPr>
          <w:rFonts w:hint="eastAsia" w:asciiTheme="minorEastAsia" w:hAnsiTheme="minorEastAsia" w:eastAsiaTheme="minorEastAsia" w:cstheme="minorEastAsia"/>
          <w:sz w:val="21"/>
          <w:szCs w:val="21"/>
        </w:rPr>
        <w:t>六、供应商实质性响应标准</w:t>
      </w:r>
      <w:r>
        <w:rPr>
          <w:rFonts w:hint="eastAsia" w:asciiTheme="minorEastAsia" w:hAnsiTheme="minorEastAsia" w:eastAsiaTheme="minorEastAsia" w:cstheme="minorEastAsia"/>
          <w:sz w:val="21"/>
          <w:szCs w:val="21"/>
        </w:rPr>
        <w:tab/>
      </w:r>
      <w:r>
        <w:rPr>
          <w:rFonts w:hint="eastAsia" w:asciiTheme="minorEastAsia" w:hAnsiTheme="minorEastAsia" w:eastAsiaTheme="minorEastAsia" w:cstheme="minorEastAsia"/>
          <w:sz w:val="21"/>
          <w:szCs w:val="21"/>
        </w:rPr>
        <w:fldChar w:fldCharType="begin"/>
      </w:r>
      <w:r>
        <w:rPr>
          <w:rFonts w:hint="eastAsia" w:asciiTheme="minorEastAsia" w:hAnsiTheme="minorEastAsia" w:eastAsiaTheme="minorEastAsia" w:cstheme="minorEastAsia"/>
          <w:sz w:val="21"/>
          <w:szCs w:val="21"/>
        </w:rPr>
        <w:instrText xml:space="preserve"> PAGEREF _Toc16789 \h </w:instrText>
      </w:r>
      <w:r>
        <w:rPr>
          <w:rFonts w:hint="eastAsia" w:asciiTheme="minorEastAsia" w:hAnsiTheme="minorEastAsia" w:eastAsiaTheme="minorEastAsia" w:cstheme="minorEastAsia"/>
          <w:sz w:val="21"/>
          <w:szCs w:val="21"/>
        </w:rPr>
        <w:fldChar w:fldCharType="separate"/>
      </w:r>
      <w:r>
        <w:rPr>
          <w:rFonts w:hint="eastAsia" w:asciiTheme="minorEastAsia" w:hAnsiTheme="minorEastAsia" w:eastAsiaTheme="minorEastAsia" w:cstheme="minorEastAsia"/>
          <w:sz w:val="21"/>
          <w:szCs w:val="21"/>
        </w:rPr>
        <w:t>5</w:t>
      </w:r>
      <w:r>
        <w:rPr>
          <w:rFonts w:hint="eastAsia" w:asciiTheme="minorEastAsia" w:hAnsiTheme="minorEastAsia" w:eastAsiaTheme="minorEastAsia" w:cstheme="minorEastAsia"/>
          <w:sz w:val="21"/>
          <w:szCs w:val="21"/>
        </w:rPr>
        <w:fldChar w:fldCharType="end"/>
      </w:r>
      <w:r>
        <w:rPr>
          <w:rFonts w:hint="eastAsia" w:asciiTheme="minorEastAsia" w:hAnsiTheme="minorEastAsia" w:eastAsiaTheme="minorEastAsia" w:cstheme="minorEastAsia"/>
          <w:sz w:val="21"/>
          <w:szCs w:val="21"/>
        </w:rPr>
        <w:fldChar w:fldCharType="end"/>
      </w:r>
    </w:p>
    <w:p>
      <w:pPr>
        <w:pStyle w:val="21"/>
        <w:tabs>
          <w:tab w:val="right" w:leader="dot" w:pos="8116"/>
        </w:tabs>
        <w:rPr>
          <w:rFonts w:asciiTheme="minorEastAsia" w:hAnsiTheme="minorEastAsia" w:eastAsiaTheme="minorEastAsia" w:cstheme="minorEastAsia"/>
          <w:sz w:val="21"/>
          <w:szCs w:val="21"/>
        </w:rPr>
      </w:pPr>
      <w:r>
        <w:fldChar w:fldCharType="begin"/>
      </w:r>
      <w:r>
        <w:instrText xml:space="preserve"> HYPERLINK \l "_Toc24585" </w:instrText>
      </w:r>
      <w:r>
        <w:fldChar w:fldCharType="separate"/>
      </w:r>
      <w:r>
        <w:rPr>
          <w:rFonts w:hint="eastAsia" w:asciiTheme="minorEastAsia" w:hAnsiTheme="minorEastAsia" w:eastAsiaTheme="minorEastAsia" w:cstheme="minorEastAsia"/>
          <w:sz w:val="21"/>
          <w:szCs w:val="21"/>
        </w:rPr>
        <w:t>七、竞价争议的解决</w:t>
      </w:r>
      <w:r>
        <w:rPr>
          <w:rFonts w:hint="eastAsia" w:asciiTheme="minorEastAsia" w:hAnsiTheme="minorEastAsia" w:eastAsiaTheme="minorEastAsia" w:cstheme="minorEastAsia"/>
          <w:sz w:val="21"/>
          <w:szCs w:val="21"/>
        </w:rPr>
        <w:tab/>
      </w:r>
      <w:r>
        <w:rPr>
          <w:rFonts w:hint="eastAsia" w:asciiTheme="minorEastAsia" w:hAnsiTheme="minorEastAsia" w:eastAsiaTheme="minorEastAsia" w:cstheme="minorEastAsia"/>
          <w:sz w:val="21"/>
          <w:szCs w:val="21"/>
        </w:rPr>
        <w:fldChar w:fldCharType="begin"/>
      </w:r>
      <w:r>
        <w:rPr>
          <w:rFonts w:hint="eastAsia" w:asciiTheme="minorEastAsia" w:hAnsiTheme="minorEastAsia" w:eastAsiaTheme="minorEastAsia" w:cstheme="minorEastAsia"/>
          <w:sz w:val="21"/>
          <w:szCs w:val="21"/>
        </w:rPr>
        <w:instrText xml:space="preserve"> PAGEREF _Toc24585 \h </w:instrText>
      </w:r>
      <w:r>
        <w:rPr>
          <w:rFonts w:hint="eastAsia" w:asciiTheme="minorEastAsia" w:hAnsiTheme="minorEastAsia" w:eastAsiaTheme="minorEastAsia" w:cstheme="minorEastAsia"/>
          <w:sz w:val="21"/>
          <w:szCs w:val="21"/>
        </w:rPr>
        <w:fldChar w:fldCharType="separate"/>
      </w:r>
      <w:r>
        <w:rPr>
          <w:rFonts w:hint="eastAsia" w:asciiTheme="minorEastAsia" w:hAnsiTheme="minorEastAsia" w:eastAsiaTheme="minorEastAsia" w:cstheme="minorEastAsia"/>
          <w:sz w:val="21"/>
          <w:szCs w:val="21"/>
        </w:rPr>
        <w:t>6</w:t>
      </w:r>
      <w:r>
        <w:rPr>
          <w:rFonts w:hint="eastAsia" w:asciiTheme="minorEastAsia" w:hAnsiTheme="minorEastAsia" w:eastAsiaTheme="minorEastAsia" w:cstheme="minorEastAsia"/>
          <w:sz w:val="21"/>
          <w:szCs w:val="21"/>
        </w:rPr>
        <w:fldChar w:fldCharType="end"/>
      </w:r>
      <w:r>
        <w:rPr>
          <w:rFonts w:hint="eastAsia" w:asciiTheme="minorEastAsia" w:hAnsiTheme="minorEastAsia" w:eastAsiaTheme="minorEastAsia" w:cstheme="minorEastAsia"/>
          <w:sz w:val="21"/>
          <w:szCs w:val="21"/>
        </w:rPr>
        <w:fldChar w:fldCharType="end"/>
      </w:r>
    </w:p>
    <w:p>
      <w:pPr>
        <w:pStyle w:val="21"/>
        <w:tabs>
          <w:tab w:val="right" w:leader="dot" w:pos="8116"/>
        </w:tabs>
        <w:rPr>
          <w:rFonts w:asciiTheme="minorEastAsia" w:hAnsiTheme="minorEastAsia" w:eastAsiaTheme="minorEastAsia" w:cstheme="minorEastAsia"/>
          <w:sz w:val="21"/>
          <w:szCs w:val="21"/>
        </w:rPr>
      </w:pPr>
      <w:r>
        <w:fldChar w:fldCharType="begin"/>
      </w:r>
      <w:r>
        <w:instrText xml:space="preserve"> HYPERLINK \l "_Toc4337" </w:instrText>
      </w:r>
      <w:r>
        <w:fldChar w:fldCharType="separate"/>
      </w:r>
      <w:r>
        <w:rPr>
          <w:rFonts w:hint="eastAsia" w:asciiTheme="minorEastAsia" w:hAnsiTheme="minorEastAsia" w:eastAsiaTheme="minorEastAsia" w:cstheme="minorEastAsia"/>
          <w:sz w:val="21"/>
          <w:szCs w:val="21"/>
        </w:rPr>
        <w:t>八、竞价有关情况处理</w:t>
      </w:r>
      <w:r>
        <w:rPr>
          <w:rFonts w:hint="eastAsia" w:asciiTheme="minorEastAsia" w:hAnsiTheme="minorEastAsia" w:eastAsiaTheme="minorEastAsia" w:cstheme="minorEastAsia"/>
          <w:sz w:val="21"/>
          <w:szCs w:val="21"/>
        </w:rPr>
        <w:tab/>
      </w:r>
      <w:r>
        <w:rPr>
          <w:rFonts w:hint="eastAsia" w:asciiTheme="minorEastAsia" w:hAnsiTheme="minorEastAsia" w:eastAsiaTheme="minorEastAsia" w:cstheme="minorEastAsia"/>
          <w:sz w:val="21"/>
          <w:szCs w:val="21"/>
        </w:rPr>
        <w:fldChar w:fldCharType="begin"/>
      </w:r>
      <w:r>
        <w:rPr>
          <w:rFonts w:hint="eastAsia" w:asciiTheme="minorEastAsia" w:hAnsiTheme="minorEastAsia" w:eastAsiaTheme="minorEastAsia" w:cstheme="minorEastAsia"/>
          <w:sz w:val="21"/>
          <w:szCs w:val="21"/>
        </w:rPr>
        <w:instrText xml:space="preserve"> PAGEREF _Toc4337 \h </w:instrText>
      </w:r>
      <w:r>
        <w:rPr>
          <w:rFonts w:hint="eastAsia" w:asciiTheme="minorEastAsia" w:hAnsiTheme="minorEastAsia" w:eastAsiaTheme="minorEastAsia" w:cstheme="minorEastAsia"/>
          <w:sz w:val="21"/>
          <w:szCs w:val="21"/>
        </w:rPr>
        <w:fldChar w:fldCharType="separate"/>
      </w:r>
      <w:r>
        <w:rPr>
          <w:rFonts w:hint="eastAsia" w:asciiTheme="minorEastAsia" w:hAnsiTheme="minorEastAsia" w:eastAsiaTheme="minorEastAsia" w:cstheme="minorEastAsia"/>
          <w:sz w:val="21"/>
          <w:szCs w:val="21"/>
        </w:rPr>
        <w:t>6</w:t>
      </w:r>
      <w:r>
        <w:rPr>
          <w:rFonts w:hint="eastAsia" w:asciiTheme="minorEastAsia" w:hAnsiTheme="minorEastAsia" w:eastAsiaTheme="minorEastAsia" w:cstheme="minorEastAsia"/>
          <w:sz w:val="21"/>
          <w:szCs w:val="21"/>
        </w:rPr>
        <w:fldChar w:fldCharType="end"/>
      </w:r>
      <w:r>
        <w:rPr>
          <w:rFonts w:hint="eastAsia" w:asciiTheme="minorEastAsia" w:hAnsiTheme="minorEastAsia" w:eastAsiaTheme="minorEastAsia" w:cstheme="minorEastAsia"/>
          <w:sz w:val="21"/>
          <w:szCs w:val="21"/>
        </w:rPr>
        <w:fldChar w:fldCharType="end"/>
      </w:r>
    </w:p>
    <w:p>
      <w:pPr>
        <w:pStyle w:val="21"/>
        <w:tabs>
          <w:tab w:val="right" w:leader="dot" w:pos="8116"/>
        </w:tabs>
        <w:rPr>
          <w:rFonts w:asciiTheme="minorEastAsia" w:hAnsiTheme="minorEastAsia" w:eastAsiaTheme="minorEastAsia" w:cstheme="minorEastAsia"/>
          <w:sz w:val="21"/>
          <w:szCs w:val="21"/>
        </w:rPr>
      </w:pPr>
      <w:r>
        <w:fldChar w:fldCharType="begin"/>
      </w:r>
      <w:r>
        <w:instrText xml:space="preserve"> HYPERLINK \l "_Toc16930" </w:instrText>
      </w:r>
      <w:r>
        <w:fldChar w:fldCharType="separate"/>
      </w:r>
      <w:r>
        <w:rPr>
          <w:rFonts w:hint="eastAsia" w:asciiTheme="minorEastAsia" w:hAnsiTheme="minorEastAsia" w:eastAsiaTheme="minorEastAsia" w:cstheme="minorEastAsia"/>
          <w:sz w:val="21"/>
          <w:szCs w:val="21"/>
        </w:rPr>
        <w:t>九、交纳投标保证金</w:t>
      </w:r>
      <w:r>
        <w:rPr>
          <w:rFonts w:hint="eastAsia" w:asciiTheme="minorEastAsia" w:hAnsiTheme="minorEastAsia" w:eastAsiaTheme="minorEastAsia" w:cstheme="minorEastAsia"/>
          <w:sz w:val="21"/>
          <w:szCs w:val="21"/>
        </w:rPr>
        <w:tab/>
      </w:r>
      <w:r>
        <w:rPr>
          <w:rFonts w:hint="eastAsia" w:asciiTheme="minorEastAsia" w:hAnsiTheme="minorEastAsia" w:eastAsiaTheme="minorEastAsia" w:cstheme="minorEastAsia"/>
          <w:sz w:val="21"/>
          <w:szCs w:val="21"/>
        </w:rPr>
        <w:fldChar w:fldCharType="begin"/>
      </w:r>
      <w:r>
        <w:rPr>
          <w:rFonts w:hint="eastAsia" w:asciiTheme="minorEastAsia" w:hAnsiTheme="minorEastAsia" w:eastAsiaTheme="minorEastAsia" w:cstheme="minorEastAsia"/>
          <w:sz w:val="21"/>
          <w:szCs w:val="21"/>
        </w:rPr>
        <w:instrText xml:space="preserve"> PAGEREF _Toc16930 \h </w:instrText>
      </w:r>
      <w:r>
        <w:rPr>
          <w:rFonts w:hint="eastAsia" w:asciiTheme="minorEastAsia" w:hAnsiTheme="minorEastAsia" w:eastAsiaTheme="minorEastAsia" w:cstheme="minorEastAsia"/>
          <w:sz w:val="21"/>
          <w:szCs w:val="21"/>
        </w:rPr>
        <w:fldChar w:fldCharType="separate"/>
      </w:r>
      <w:r>
        <w:rPr>
          <w:rFonts w:hint="eastAsia" w:asciiTheme="minorEastAsia" w:hAnsiTheme="minorEastAsia" w:eastAsiaTheme="minorEastAsia" w:cstheme="minorEastAsia"/>
          <w:sz w:val="21"/>
          <w:szCs w:val="21"/>
        </w:rPr>
        <w:t>7</w:t>
      </w:r>
      <w:r>
        <w:rPr>
          <w:rFonts w:hint="eastAsia" w:asciiTheme="minorEastAsia" w:hAnsiTheme="minorEastAsia" w:eastAsiaTheme="minorEastAsia" w:cstheme="minorEastAsia"/>
          <w:sz w:val="21"/>
          <w:szCs w:val="21"/>
        </w:rPr>
        <w:fldChar w:fldCharType="end"/>
      </w:r>
      <w:r>
        <w:rPr>
          <w:rFonts w:hint="eastAsia" w:asciiTheme="minorEastAsia" w:hAnsiTheme="minorEastAsia" w:eastAsiaTheme="minorEastAsia" w:cstheme="minorEastAsia"/>
          <w:sz w:val="21"/>
          <w:szCs w:val="21"/>
        </w:rPr>
        <w:fldChar w:fldCharType="end"/>
      </w:r>
    </w:p>
    <w:p>
      <w:pPr>
        <w:pStyle w:val="21"/>
        <w:tabs>
          <w:tab w:val="right" w:leader="dot" w:pos="8116"/>
        </w:tabs>
        <w:rPr>
          <w:rFonts w:asciiTheme="minorEastAsia" w:hAnsiTheme="minorEastAsia" w:eastAsiaTheme="minorEastAsia" w:cstheme="minorEastAsia"/>
          <w:sz w:val="21"/>
          <w:szCs w:val="21"/>
        </w:rPr>
      </w:pPr>
      <w:r>
        <w:fldChar w:fldCharType="begin"/>
      </w:r>
      <w:r>
        <w:instrText xml:space="preserve"> HYPERLINK \l "_Toc26822" </w:instrText>
      </w:r>
      <w:r>
        <w:fldChar w:fldCharType="separate"/>
      </w:r>
      <w:r>
        <w:rPr>
          <w:rFonts w:hint="eastAsia" w:asciiTheme="minorEastAsia" w:hAnsiTheme="minorEastAsia" w:eastAsiaTheme="minorEastAsia" w:cstheme="minorEastAsia"/>
          <w:sz w:val="21"/>
          <w:szCs w:val="21"/>
        </w:rPr>
        <w:t>十、重要提示</w:t>
      </w:r>
      <w:r>
        <w:rPr>
          <w:rFonts w:hint="eastAsia" w:asciiTheme="minorEastAsia" w:hAnsiTheme="minorEastAsia" w:eastAsiaTheme="minorEastAsia" w:cstheme="minorEastAsia"/>
          <w:sz w:val="21"/>
          <w:szCs w:val="21"/>
        </w:rPr>
        <w:tab/>
      </w:r>
      <w:r>
        <w:rPr>
          <w:rFonts w:hint="eastAsia" w:asciiTheme="minorEastAsia" w:hAnsiTheme="minorEastAsia" w:eastAsiaTheme="minorEastAsia" w:cstheme="minorEastAsia"/>
          <w:sz w:val="21"/>
          <w:szCs w:val="21"/>
        </w:rPr>
        <w:fldChar w:fldCharType="begin"/>
      </w:r>
      <w:r>
        <w:rPr>
          <w:rFonts w:hint="eastAsia" w:asciiTheme="minorEastAsia" w:hAnsiTheme="minorEastAsia" w:eastAsiaTheme="minorEastAsia" w:cstheme="minorEastAsia"/>
          <w:sz w:val="21"/>
          <w:szCs w:val="21"/>
        </w:rPr>
        <w:instrText xml:space="preserve"> PAGEREF _Toc26822 \h </w:instrText>
      </w:r>
      <w:r>
        <w:rPr>
          <w:rFonts w:hint="eastAsia" w:asciiTheme="minorEastAsia" w:hAnsiTheme="minorEastAsia" w:eastAsiaTheme="minorEastAsia" w:cstheme="minorEastAsia"/>
          <w:sz w:val="21"/>
          <w:szCs w:val="21"/>
        </w:rPr>
        <w:fldChar w:fldCharType="separate"/>
      </w:r>
      <w:r>
        <w:rPr>
          <w:rFonts w:hint="eastAsia" w:asciiTheme="minorEastAsia" w:hAnsiTheme="minorEastAsia" w:eastAsiaTheme="minorEastAsia" w:cstheme="minorEastAsia"/>
          <w:sz w:val="21"/>
          <w:szCs w:val="21"/>
        </w:rPr>
        <w:t>7</w:t>
      </w:r>
      <w:r>
        <w:rPr>
          <w:rFonts w:hint="eastAsia" w:asciiTheme="minorEastAsia" w:hAnsiTheme="minorEastAsia" w:eastAsiaTheme="minorEastAsia" w:cstheme="minorEastAsia"/>
          <w:sz w:val="21"/>
          <w:szCs w:val="21"/>
        </w:rPr>
        <w:fldChar w:fldCharType="end"/>
      </w:r>
      <w:r>
        <w:rPr>
          <w:rFonts w:hint="eastAsia" w:asciiTheme="minorEastAsia" w:hAnsiTheme="minorEastAsia" w:eastAsiaTheme="minorEastAsia" w:cstheme="minorEastAsia"/>
          <w:sz w:val="21"/>
          <w:szCs w:val="21"/>
        </w:rPr>
        <w:fldChar w:fldCharType="end"/>
      </w:r>
    </w:p>
    <w:p>
      <w:pPr>
        <w:pStyle w:val="21"/>
        <w:tabs>
          <w:tab w:val="right" w:leader="dot" w:pos="8116"/>
        </w:tabs>
        <w:rPr>
          <w:rFonts w:asciiTheme="minorEastAsia" w:hAnsiTheme="minorEastAsia" w:eastAsiaTheme="minorEastAsia" w:cstheme="minorEastAsia"/>
          <w:sz w:val="21"/>
          <w:szCs w:val="21"/>
        </w:rPr>
      </w:pPr>
      <w:r>
        <w:fldChar w:fldCharType="begin"/>
      </w:r>
      <w:r>
        <w:instrText xml:space="preserve"> HYPERLINK \l "_Toc29800" </w:instrText>
      </w:r>
      <w:r>
        <w:fldChar w:fldCharType="separate"/>
      </w:r>
      <w:r>
        <w:rPr>
          <w:rFonts w:hint="eastAsia" w:asciiTheme="minorEastAsia" w:hAnsiTheme="minorEastAsia" w:eastAsiaTheme="minorEastAsia" w:cstheme="minorEastAsia"/>
          <w:sz w:val="21"/>
          <w:szCs w:val="21"/>
        </w:rPr>
        <w:t>十一、联系方式</w:t>
      </w:r>
      <w:r>
        <w:rPr>
          <w:rFonts w:hint="eastAsia" w:asciiTheme="minorEastAsia" w:hAnsiTheme="minorEastAsia" w:eastAsiaTheme="minorEastAsia" w:cstheme="minorEastAsia"/>
          <w:sz w:val="21"/>
          <w:szCs w:val="21"/>
        </w:rPr>
        <w:tab/>
      </w:r>
      <w:r>
        <w:rPr>
          <w:rFonts w:hint="eastAsia" w:asciiTheme="minorEastAsia" w:hAnsiTheme="minorEastAsia" w:eastAsiaTheme="minorEastAsia" w:cstheme="minorEastAsia"/>
          <w:sz w:val="21"/>
          <w:szCs w:val="21"/>
        </w:rPr>
        <w:fldChar w:fldCharType="begin"/>
      </w:r>
      <w:r>
        <w:rPr>
          <w:rFonts w:hint="eastAsia" w:asciiTheme="minorEastAsia" w:hAnsiTheme="minorEastAsia" w:eastAsiaTheme="minorEastAsia" w:cstheme="minorEastAsia"/>
          <w:sz w:val="21"/>
          <w:szCs w:val="21"/>
        </w:rPr>
        <w:instrText xml:space="preserve"> PAGEREF _Toc29800 \h </w:instrText>
      </w:r>
      <w:r>
        <w:rPr>
          <w:rFonts w:hint="eastAsia" w:asciiTheme="minorEastAsia" w:hAnsiTheme="minorEastAsia" w:eastAsiaTheme="minorEastAsia" w:cstheme="minorEastAsia"/>
          <w:sz w:val="21"/>
          <w:szCs w:val="21"/>
        </w:rPr>
        <w:fldChar w:fldCharType="separate"/>
      </w:r>
      <w:r>
        <w:rPr>
          <w:rFonts w:hint="eastAsia" w:asciiTheme="minorEastAsia" w:hAnsiTheme="minorEastAsia" w:eastAsiaTheme="minorEastAsia" w:cstheme="minorEastAsia"/>
          <w:sz w:val="21"/>
          <w:szCs w:val="21"/>
        </w:rPr>
        <w:t>7</w:t>
      </w:r>
      <w:r>
        <w:rPr>
          <w:rFonts w:hint="eastAsia" w:asciiTheme="minorEastAsia" w:hAnsiTheme="minorEastAsia" w:eastAsiaTheme="minorEastAsia" w:cstheme="minorEastAsia"/>
          <w:sz w:val="21"/>
          <w:szCs w:val="21"/>
        </w:rPr>
        <w:fldChar w:fldCharType="end"/>
      </w:r>
      <w:r>
        <w:rPr>
          <w:rFonts w:hint="eastAsia" w:asciiTheme="minorEastAsia" w:hAnsiTheme="minorEastAsia" w:eastAsiaTheme="minorEastAsia" w:cstheme="minorEastAsia"/>
          <w:sz w:val="21"/>
          <w:szCs w:val="21"/>
        </w:rPr>
        <w:fldChar w:fldCharType="end"/>
      </w:r>
    </w:p>
    <w:p>
      <w:pPr>
        <w:pStyle w:val="18"/>
        <w:tabs>
          <w:tab w:val="right" w:leader="dot" w:pos="8116"/>
        </w:tabs>
        <w:rPr>
          <w:rFonts w:asciiTheme="minorEastAsia" w:hAnsiTheme="minorEastAsia" w:eastAsiaTheme="minorEastAsia" w:cstheme="minorEastAsia"/>
          <w:sz w:val="21"/>
          <w:szCs w:val="21"/>
        </w:rPr>
      </w:pPr>
      <w:r>
        <w:fldChar w:fldCharType="begin"/>
      </w:r>
      <w:r>
        <w:instrText xml:space="preserve"> HYPERLINK \l "_Toc2116" </w:instrText>
      </w:r>
      <w:r>
        <w:fldChar w:fldCharType="separate"/>
      </w:r>
      <w:r>
        <w:rPr>
          <w:rFonts w:hint="eastAsia" w:asciiTheme="minorEastAsia" w:hAnsiTheme="minorEastAsia" w:eastAsiaTheme="minorEastAsia" w:cstheme="minorEastAsia"/>
          <w:sz w:val="21"/>
          <w:szCs w:val="21"/>
        </w:rPr>
        <w:t>第二章  竞价采购需求明细</w:t>
      </w:r>
      <w:r>
        <w:rPr>
          <w:rFonts w:hint="eastAsia" w:asciiTheme="minorEastAsia" w:hAnsiTheme="minorEastAsia" w:eastAsiaTheme="minorEastAsia" w:cstheme="minorEastAsia"/>
          <w:sz w:val="21"/>
          <w:szCs w:val="21"/>
        </w:rPr>
        <w:tab/>
      </w:r>
      <w:r>
        <w:rPr>
          <w:rFonts w:hint="eastAsia" w:asciiTheme="minorEastAsia" w:hAnsiTheme="minorEastAsia" w:eastAsiaTheme="minorEastAsia" w:cstheme="minorEastAsia"/>
          <w:sz w:val="21"/>
          <w:szCs w:val="21"/>
        </w:rPr>
        <w:fldChar w:fldCharType="begin"/>
      </w:r>
      <w:r>
        <w:rPr>
          <w:rFonts w:hint="eastAsia" w:asciiTheme="minorEastAsia" w:hAnsiTheme="minorEastAsia" w:eastAsiaTheme="minorEastAsia" w:cstheme="minorEastAsia"/>
          <w:sz w:val="21"/>
          <w:szCs w:val="21"/>
        </w:rPr>
        <w:instrText xml:space="preserve"> PAGEREF _Toc2116 \h </w:instrText>
      </w:r>
      <w:r>
        <w:rPr>
          <w:rFonts w:hint="eastAsia" w:asciiTheme="minorEastAsia" w:hAnsiTheme="minorEastAsia" w:eastAsiaTheme="minorEastAsia" w:cstheme="minorEastAsia"/>
          <w:sz w:val="21"/>
          <w:szCs w:val="21"/>
        </w:rPr>
        <w:fldChar w:fldCharType="separate"/>
      </w:r>
      <w:r>
        <w:rPr>
          <w:rFonts w:hint="eastAsia" w:asciiTheme="minorEastAsia" w:hAnsiTheme="minorEastAsia" w:eastAsiaTheme="minorEastAsia" w:cstheme="minorEastAsia"/>
          <w:sz w:val="21"/>
          <w:szCs w:val="21"/>
        </w:rPr>
        <w:t>9</w:t>
      </w:r>
      <w:r>
        <w:rPr>
          <w:rFonts w:hint="eastAsia" w:asciiTheme="minorEastAsia" w:hAnsiTheme="minorEastAsia" w:eastAsiaTheme="minorEastAsia" w:cstheme="minorEastAsia"/>
          <w:sz w:val="21"/>
          <w:szCs w:val="21"/>
        </w:rPr>
        <w:fldChar w:fldCharType="end"/>
      </w:r>
      <w:r>
        <w:rPr>
          <w:rFonts w:hint="eastAsia" w:asciiTheme="minorEastAsia" w:hAnsiTheme="minorEastAsia" w:eastAsiaTheme="minorEastAsia" w:cstheme="minorEastAsia"/>
          <w:sz w:val="21"/>
          <w:szCs w:val="21"/>
        </w:rPr>
        <w:fldChar w:fldCharType="end"/>
      </w:r>
    </w:p>
    <w:p>
      <w:pPr>
        <w:pStyle w:val="21"/>
        <w:tabs>
          <w:tab w:val="right" w:leader="dot" w:pos="8116"/>
        </w:tabs>
        <w:rPr>
          <w:rFonts w:asciiTheme="minorEastAsia" w:hAnsiTheme="minorEastAsia" w:eastAsiaTheme="minorEastAsia" w:cstheme="minorEastAsia"/>
          <w:sz w:val="21"/>
          <w:szCs w:val="21"/>
        </w:rPr>
      </w:pPr>
      <w:r>
        <w:fldChar w:fldCharType="begin"/>
      </w:r>
      <w:r>
        <w:instrText xml:space="preserve"> HYPERLINK \l "_Toc18451" </w:instrText>
      </w:r>
      <w:r>
        <w:fldChar w:fldCharType="separate"/>
      </w:r>
      <w:r>
        <w:rPr>
          <w:rFonts w:hint="eastAsia" w:asciiTheme="minorEastAsia" w:hAnsiTheme="minorEastAsia" w:eastAsiaTheme="minorEastAsia" w:cstheme="minorEastAsia"/>
          <w:sz w:val="21"/>
          <w:szCs w:val="21"/>
        </w:rPr>
        <w:t>一、项目清单</w:t>
      </w:r>
      <w:r>
        <w:rPr>
          <w:rFonts w:hint="eastAsia" w:asciiTheme="minorEastAsia" w:hAnsiTheme="minorEastAsia" w:eastAsiaTheme="minorEastAsia" w:cstheme="minorEastAsia"/>
          <w:sz w:val="21"/>
          <w:szCs w:val="21"/>
        </w:rPr>
        <w:tab/>
      </w:r>
      <w:r>
        <w:rPr>
          <w:rFonts w:hint="eastAsia" w:asciiTheme="minorEastAsia" w:hAnsiTheme="minorEastAsia" w:eastAsiaTheme="minorEastAsia" w:cstheme="minorEastAsia"/>
          <w:sz w:val="21"/>
          <w:szCs w:val="21"/>
        </w:rPr>
        <w:fldChar w:fldCharType="begin"/>
      </w:r>
      <w:r>
        <w:rPr>
          <w:rFonts w:hint="eastAsia" w:asciiTheme="minorEastAsia" w:hAnsiTheme="minorEastAsia" w:eastAsiaTheme="minorEastAsia" w:cstheme="minorEastAsia"/>
          <w:sz w:val="21"/>
          <w:szCs w:val="21"/>
        </w:rPr>
        <w:instrText xml:space="preserve"> PAGEREF _Toc18451 \h </w:instrText>
      </w:r>
      <w:r>
        <w:rPr>
          <w:rFonts w:hint="eastAsia" w:asciiTheme="minorEastAsia" w:hAnsiTheme="minorEastAsia" w:eastAsiaTheme="minorEastAsia" w:cstheme="minorEastAsia"/>
          <w:sz w:val="21"/>
          <w:szCs w:val="21"/>
        </w:rPr>
        <w:fldChar w:fldCharType="separate"/>
      </w:r>
      <w:r>
        <w:rPr>
          <w:rFonts w:hint="eastAsia" w:asciiTheme="minorEastAsia" w:hAnsiTheme="minorEastAsia" w:eastAsiaTheme="minorEastAsia" w:cstheme="minorEastAsia"/>
          <w:sz w:val="21"/>
          <w:szCs w:val="21"/>
        </w:rPr>
        <w:t>9</w:t>
      </w:r>
      <w:r>
        <w:rPr>
          <w:rFonts w:hint="eastAsia" w:asciiTheme="minorEastAsia" w:hAnsiTheme="minorEastAsia" w:eastAsiaTheme="minorEastAsia" w:cstheme="minorEastAsia"/>
          <w:sz w:val="21"/>
          <w:szCs w:val="21"/>
        </w:rPr>
        <w:fldChar w:fldCharType="end"/>
      </w:r>
      <w:r>
        <w:rPr>
          <w:rFonts w:hint="eastAsia" w:asciiTheme="minorEastAsia" w:hAnsiTheme="minorEastAsia" w:eastAsiaTheme="minorEastAsia" w:cstheme="minorEastAsia"/>
          <w:sz w:val="21"/>
          <w:szCs w:val="21"/>
        </w:rPr>
        <w:fldChar w:fldCharType="end"/>
      </w:r>
    </w:p>
    <w:p>
      <w:pPr>
        <w:pStyle w:val="21"/>
        <w:tabs>
          <w:tab w:val="right" w:leader="dot" w:pos="8116"/>
        </w:tabs>
        <w:rPr>
          <w:rFonts w:asciiTheme="minorEastAsia" w:hAnsiTheme="minorEastAsia" w:eastAsiaTheme="minorEastAsia" w:cstheme="minorEastAsia"/>
          <w:sz w:val="21"/>
          <w:szCs w:val="21"/>
        </w:rPr>
      </w:pPr>
      <w:r>
        <w:fldChar w:fldCharType="begin"/>
      </w:r>
      <w:r>
        <w:instrText xml:space="preserve"> HYPERLINK \l "_Toc30572" </w:instrText>
      </w:r>
      <w:r>
        <w:fldChar w:fldCharType="separate"/>
      </w:r>
      <w:r>
        <w:rPr>
          <w:rFonts w:hint="eastAsia" w:asciiTheme="minorEastAsia" w:hAnsiTheme="minorEastAsia" w:eastAsiaTheme="minorEastAsia" w:cstheme="minorEastAsia"/>
          <w:sz w:val="21"/>
          <w:szCs w:val="21"/>
        </w:rPr>
        <w:t>二、服务要求</w:t>
      </w:r>
      <w:r>
        <w:rPr>
          <w:rFonts w:hint="eastAsia" w:asciiTheme="minorEastAsia" w:hAnsiTheme="minorEastAsia" w:eastAsiaTheme="minorEastAsia" w:cstheme="minorEastAsia"/>
          <w:sz w:val="21"/>
          <w:szCs w:val="21"/>
        </w:rPr>
        <w:tab/>
      </w:r>
      <w:r>
        <w:rPr>
          <w:rFonts w:hint="eastAsia" w:asciiTheme="minorEastAsia" w:hAnsiTheme="minorEastAsia" w:eastAsiaTheme="minorEastAsia" w:cstheme="minorEastAsia"/>
          <w:sz w:val="21"/>
          <w:szCs w:val="21"/>
        </w:rPr>
        <w:fldChar w:fldCharType="begin"/>
      </w:r>
      <w:r>
        <w:rPr>
          <w:rFonts w:hint="eastAsia" w:asciiTheme="minorEastAsia" w:hAnsiTheme="minorEastAsia" w:eastAsiaTheme="minorEastAsia" w:cstheme="minorEastAsia"/>
          <w:sz w:val="21"/>
          <w:szCs w:val="21"/>
        </w:rPr>
        <w:instrText xml:space="preserve"> PAGEREF _Toc30572 \h </w:instrText>
      </w:r>
      <w:r>
        <w:rPr>
          <w:rFonts w:hint="eastAsia" w:asciiTheme="minorEastAsia" w:hAnsiTheme="minorEastAsia" w:eastAsiaTheme="minorEastAsia" w:cstheme="minorEastAsia"/>
          <w:sz w:val="21"/>
          <w:szCs w:val="21"/>
        </w:rPr>
        <w:fldChar w:fldCharType="separate"/>
      </w:r>
      <w:r>
        <w:rPr>
          <w:rFonts w:hint="eastAsia" w:asciiTheme="minorEastAsia" w:hAnsiTheme="minorEastAsia" w:eastAsiaTheme="minorEastAsia" w:cstheme="minorEastAsia"/>
          <w:sz w:val="21"/>
          <w:szCs w:val="21"/>
        </w:rPr>
        <w:t>9</w:t>
      </w:r>
      <w:r>
        <w:rPr>
          <w:rFonts w:hint="eastAsia" w:asciiTheme="minorEastAsia" w:hAnsiTheme="minorEastAsia" w:eastAsiaTheme="minorEastAsia" w:cstheme="minorEastAsia"/>
          <w:sz w:val="21"/>
          <w:szCs w:val="21"/>
        </w:rPr>
        <w:fldChar w:fldCharType="end"/>
      </w:r>
      <w:r>
        <w:rPr>
          <w:rFonts w:hint="eastAsia" w:asciiTheme="minorEastAsia" w:hAnsiTheme="minorEastAsia" w:eastAsiaTheme="minorEastAsia" w:cstheme="minorEastAsia"/>
          <w:sz w:val="21"/>
          <w:szCs w:val="21"/>
        </w:rPr>
        <w:fldChar w:fldCharType="end"/>
      </w:r>
    </w:p>
    <w:p>
      <w:pPr>
        <w:pStyle w:val="21"/>
        <w:tabs>
          <w:tab w:val="right" w:leader="dot" w:pos="8116"/>
        </w:tabs>
        <w:rPr>
          <w:rFonts w:asciiTheme="minorEastAsia" w:hAnsiTheme="minorEastAsia" w:eastAsiaTheme="minorEastAsia" w:cstheme="minorEastAsia"/>
          <w:sz w:val="21"/>
          <w:szCs w:val="21"/>
        </w:rPr>
      </w:pPr>
      <w:r>
        <w:fldChar w:fldCharType="begin"/>
      </w:r>
      <w:r>
        <w:instrText xml:space="preserve"> HYPERLINK \l "_Toc14914" </w:instrText>
      </w:r>
      <w:r>
        <w:fldChar w:fldCharType="separate"/>
      </w:r>
      <w:r>
        <w:rPr>
          <w:rFonts w:hint="eastAsia" w:asciiTheme="minorEastAsia" w:hAnsiTheme="minorEastAsia" w:eastAsiaTheme="minorEastAsia" w:cstheme="minorEastAsia"/>
          <w:sz w:val="21"/>
          <w:szCs w:val="21"/>
        </w:rPr>
        <w:t>三、商务要求</w:t>
      </w:r>
      <w:r>
        <w:rPr>
          <w:rFonts w:hint="eastAsia" w:asciiTheme="minorEastAsia" w:hAnsiTheme="minorEastAsia" w:eastAsiaTheme="minorEastAsia" w:cstheme="minorEastAsia"/>
          <w:sz w:val="21"/>
          <w:szCs w:val="21"/>
        </w:rPr>
        <w:tab/>
      </w:r>
      <w:r>
        <w:rPr>
          <w:rFonts w:hint="eastAsia" w:asciiTheme="minorEastAsia" w:hAnsiTheme="minorEastAsia" w:eastAsiaTheme="minorEastAsia" w:cstheme="minorEastAsia"/>
          <w:sz w:val="21"/>
          <w:szCs w:val="21"/>
        </w:rPr>
        <w:fldChar w:fldCharType="begin"/>
      </w:r>
      <w:r>
        <w:rPr>
          <w:rFonts w:hint="eastAsia" w:asciiTheme="minorEastAsia" w:hAnsiTheme="minorEastAsia" w:eastAsiaTheme="minorEastAsia" w:cstheme="minorEastAsia"/>
          <w:sz w:val="21"/>
          <w:szCs w:val="21"/>
        </w:rPr>
        <w:instrText xml:space="preserve"> PAGEREF _Toc14914 \h </w:instrText>
      </w:r>
      <w:r>
        <w:rPr>
          <w:rFonts w:hint="eastAsia" w:asciiTheme="minorEastAsia" w:hAnsiTheme="minorEastAsia" w:eastAsiaTheme="minorEastAsia" w:cstheme="minorEastAsia"/>
          <w:sz w:val="21"/>
          <w:szCs w:val="21"/>
        </w:rPr>
        <w:fldChar w:fldCharType="separate"/>
      </w:r>
      <w:r>
        <w:rPr>
          <w:rFonts w:hint="eastAsia" w:asciiTheme="minorEastAsia" w:hAnsiTheme="minorEastAsia" w:eastAsiaTheme="minorEastAsia" w:cstheme="minorEastAsia"/>
          <w:sz w:val="21"/>
          <w:szCs w:val="21"/>
        </w:rPr>
        <w:t>15</w:t>
      </w:r>
      <w:r>
        <w:rPr>
          <w:rFonts w:hint="eastAsia" w:asciiTheme="minorEastAsia" w:hAnsiTheme="minorEastAsia" w:eastAsiaTheme="minorEastAsia" w:cstheme="minorEastAsia"/>
          <w:sz w:val="21"/>
          <w:szCs w:val="21"/>
        </w:rPr>
        <w:fldChar w:fldCharType="end"/>
      </w:r>
      <w:r>
        <w:rPr>
          <w:rFonts w:hint="eastAsia" w:asciiTheme="minorEastAsia" w:hAnsiTheme="minorEastAsia" w:eastAsiaTheme="minorEastAsia" w:cstheme="minorEastAsia"/>
          <w:sz w:val="21"/>
          <w:szCs w:val="21"/>
        </w:rPr>
        <w:fldChar w:fldCharType="end"/>
      </w:r>
    </w:p>
    <w:p>
      <w:pPr>
        <w:pStyle w:val="18"/>
        <w:tabs>
          <w:tab w:val="right" w:leader="dot" w:pos="8116"/>
        </w:tabs>
        <w:rPr>
          <w:rFonts w:asciiTheme="minorEastAsia" w:hAnsiTheme="minorEastAsia" w:eastAsiaTheme="minorEastAsia" w:cstheme="minorEastAsia"/>
          <w:sz w:val="21"/>
          <w:szCs w:val="21"/>
        </w:rPr>
      </w:pPr>
      <w:r>
        <w:fldChar w:fldCharType="begin"/>
      </w:r>
      <w:r>
        <w:instrText xml:space="preserve"> HYPERLINK \l "_Toc26515" </w:instrText>
      </w:r>
      <w:r>
        <w:fldChar w:fldCharType="separate"/>
      </w:r>
      <w:r>
        <w:rPr>
          <w:rFonts w:hint="eastAsia" w:asciiTheme="minorEastAsia" w:hAnsiTheme="minorEastAsia" w:eastAsiaTheme="minorEastAsia" w:cstheme="minorEastAsia"/>
          <w:sz w:val="21"/>
          <w:szCs w:val="21"/>
        </w:rPr>
        <w:t>第三章  竞价应答文件（格式）</w:t>
      </w:r>
      <w:r>
        <w:rPr>
          <w:rFonts w:hint="eastAsia" w:asciiTheme="minorEastAsia" w:hAnsiTheme="minorEastAsia" w:eastAsiaTheme="minorEastAsia" w:cstheme="minorEastAsia"/>
          <w:sz w:val="21"/>
          <w:szCs w:val="21"/>
        </w:rPr>
        <w:tab/>
      </w:r>
      <w:r>
        <w:rPr>
          <w:rFonts w:hint="eastAsia" w:asciiTheme="minorEastAsia" w:hAnsiTheme="minorEastAsia" w:eastAsiaTheme="minorEastAsia" w:cstheme="minorEastAsia"/>
          <w:sz w:val="21"/>
          <w:szCs w:val="21"/>
        </w:rPr>
        <w:fldChar w:fldCharType="begin"/>
      </w:r>
      <w:r>
        <w:rPr>
          <w:rFonts w:hint="eastAsia" w:asciiTheme="minorEastAsia" w:hAnsiTheme="minorEastAsia" w:eastAsiaTheme="minorEastAsia" w:cstheme="minorEastAsia"/>
          <w:sz w:val="21"/>
          <w:szCs w:val="21"/>
        </w:rPr>
        <w:instrText xml:space="preserve"> PAGEREF _Toc26515 \h </w:instrText>
      </w:r>
      <w:r>
        <w:rPr>
          <w:rFonts w:hint="eastAsia" w:asciiTheme="minorEastAsia" w:hAnsiTheme="minorEastAsia" w:eastAsiaTheme="minorEastAsia" w:cstheme="minorEastAsia"/>
          <w:sz w:val="21"/>
          <w:szCs w:val="21"/>
        </w:rPr>
        <w:fldChar w:fldCharType="separate"/>
      </w:r>
      <w:r>
        <w:rPr>
          <w:rFonts w:hint="eastAsia" w:asciiTheme="minorEastAsia" w:hAnsiTheme="minorEastAsia" w:eastAsiaTheme="minorEastAsia" w:cstheme="minorEastAsia"/>
          <w:sz w:val="21"/>
          <w:szCs w:val="21"/>
        </w:rPr>
        <w:t>17</w:t>
      </w:r>
      <w:r>
        <w:rPr>
          <w:rFonts w:hint="eastAsia" w:asciiTheme="minorEastAsia" w:hAnsiTheme="minorEastAsia" w:eastAsiaTheme="minorEastAsia" w:cstheme="minorEastAsia"/>
          <w:sz w:val="21"/>
          <w:szCs w:val="21"/>
        </w:rPr>
        <w:fldChar w:fldCharType="end"/>
      </w:r>
      <w:r>
        <w:rPr>
          <w:rFonts w:hint="eastAsia" w:asciiTheme="minorEastAsia" w:hAnsiTheme="minorEastAsia" w:eastAsiaTheme="minorEastAsia" w:cstheme="minorEastAsia"/>
          <w:sz w:val="21"/>
          <w:szCs w:val="21"/>
        </w:rPr>
        <w:fldChar w:fldCharType="end"/>
      </w:r>
    </w:p>
    <w:p>
      <w:pPr>
        <w:pStyle w:val="21"/>
        <w:tabs>
          <w:tab w:val="right" w:leader="dot" w:pos="8116"/>
        </w:tabs>
        <w:rPr>
          <w:rFonts w:asciiTheme="minorEastAsia" w:hAnsiTheme="minorEastAsia" w:eastAsiaTheme="minorEastAsia" w:cstheme="minorEastAsia"/>
          <w:sz w:val="21"/>
          <w:szCs w:val="21"/>
        </w:rPr>
      </w:pPr>
      <w:r>
        <w:fldChar w:fldCharType="begin"/>
      </w:r>
      <w:r>
        <w:instrText xml:space="preserve"> HYPERLINK \l "_Toc1241" </w:instrText>
      </w:r>
      <w:r>
        <w:fldChar w:fldCharType="separate"/>
      </w:r>
      <w:r>
        <w:rPr>
          <w:rFonts w:hint="eastAsia" w:asciiTheme="minorEastAsia" w:hAnsiTheme="minorEastAsia" w:eastAsiaTheme="minorEastAsia" w:cstheme="minorEastAsia"/>
          <w:bCs/>
          <w:sz w:val="21"/>
          <w:szCs w:val="21"/>
        </w:rPr>
        <w:t>一、资格性、符合性审查表</w:t>
      </w:r>
      <w:r>
        <w:rPr>
          <w:rFonts w:hint="eastAsia" w:asciiTheme="minorEastAsia" w:hAnsiTheme="minorEastAsia" w:eastAsiaTheme="minorEastAsia" w:cstheme="minorEastAsia"/>
          <w:sz w:val="21"/>
          <w:szCs w:val="21"/>
        </w:rPr>
        <w:tab/>
      </w:r>
      <w:r>
        <w:rPr>
          <w:rFonts w:hint="eastAsia" w:asciiTheme="minorEastAsia" w:hAnsiTheme="minorEastAsia" w:eastAsiaTheme="minorEastAsia" w:cstheme="minorEastAsia"/>
          <w:sz w:val="21"/>
          <w:szCs w:val="21"/>
        </w:rPr>
        <w:fldChar w:fldCharType="begin"/>
      </w:r>
      <w:r>
        <w:rPr>
          <w:rFonts w:hint="eastAsia" w:asciiTheme="minorEastAsia" w:hAnsiTheme="minorEastAsia" w:eastAsiaTheme="minorEastAsia" w:cstheme="minorEastAsia"/>
          <w:sz w:val="21"/>
          <w:szCs w:val="21"/>
        </w:rPr>
        <w:instrText xml:space="preserve"> PAGEREF _Toc1241 \h </w:instrText>
      </w:r>
      <w:r>
        <w:rPr>
          <w:rFonts w:hint="eastAsia" w:asciiTheme="minorEastAsia" w:hAnsiTheme="minorEastAsia" w:eastAsiaTheme="minorEastAsia" w:cstheme="minorEastAsia"/>
          <w:sz w:val="21"/>
          <w:szCs w:val="21"/>
        </w:rPr>
        <w:fldChar w:fldCharType="separate"/>
      </w:r>
      <w:r>
        <w:rPr>
          <w:rFonts w:hint="eastAsia" w:asciiTheme="minorEastAsia" w:hAnsiTheme="minorEastAsia" w:eastAsiaTheme="minorEastAsia" w:cstheme="minorEastAsia"/>
          <w:sz w:val="21"/>
          <w:szCs w:val="21"/>
        </w:rPr>
        <w:t>18</w:t>
      </w:r>
      <w:r>
        <w:rPr>
          <w:rFonts w:hint="eastAsia" w:asciiTheme="minorEastAsia" w:hAnsiTheme="minorEastAsia" w:eastAsiaTheme="minorEastAsia" w:cstheme="minorEastAsia"/>
          <w:sz w:val="21"/>
          <w:szCs w:val="21"/>
        </w:rPr>
        <w:fldChar w:fldCharType="end"/>
      </w:r>
      <w:r>
        <w:rPr>
          <w:rFonts w:hint="eastAsia" w:asciiTheme="minorEastAsia" w:hAnsiTheme="minorEastAsia" w:eastAsiaTheme="minorEastAsia" w:cstheme="minorEastAsia"/>
          <w:sz w:val="21"/>
          <w:szCs w:val="21"/>
        </w:rPr>
        <w:fldChar w:fldCharType="end"/>
      </w:r>
    </w:p>
    <w:p>
      <w:pPr>
        <w:pStyle w:val="21"/>
        <w:tabs>
          <w:tab w:val="right" w:leader="dot" w:pos="8116"/>
        </w:tabs>
        <w:rPr>
          <w:rFonts w:asciiTheme="minorEastAsia" w:hAnsiTheme="minorEastAsia" w:eastAsiaTheme="minorEastAsia" w:cstheme="minorEastAsia"/>
          <w:sz w:val="21"/>
          <w:szCs w:val="21"/>
        </w:rPr>
      </w:pPr>
      <w:r>
        <w:fldChar w:fldCharType="begin"/>
      </w:r>
      <w:r>
        <w:instrText xml:space="preserve"> HYPERLINK \l "_Toc26951" </w:instrText>
      </w:r>
      <w:r>
        <w:fldChar w:fldCharType="separate"/>
      </w:r>
      <w:r>
        <w:rPr>
          <w:rFonts w:hint="eastAsia" w:asciiTheme="minorEastAsia" w:hAnsiTheme="minorEastAsia" w:eastAsiaTheme="minorEastAsia" w:cstheme="minorEastAsia"/>
          <w:bCs/>
          <w:sz w:val="21"/>
          <w:szCs w:val="21"/>
        </w:rPr>
        <w:t>二、承诺函</w:t>
      </w:r>
      <w:r>
        <w:rPr>
          <w:rFonts w:hint="eastAsia" w:asciiTheme="minorEastAsia" w:hAnsiTheme="minorEastAsia" w:eastAsiaTheme="minorEastAsia" w:cstheme="minorEastAsia"/>
          <w:sz w:val="21"/>
          <w:szCs w:val="21"/>
        </w:rPr>
        <w:tab/>
      </w:r>
      <w:r>
        <w:rPr>
          <w:rFonts w:hint="eastAsia" w:asciiTheme="minorEastAsia" w:hAnsiTheme="minorEastAsia" w:eastAsiaTheme="minorEastAsia" w:cstheme="minorEastAsia"/>
          <w:sz w:val="21"/>
          <w:szCs w:val="21"/>
        </w:rPr>
        <w:fldChar w:fldCharType="begin"/>
      </w:r>
      <w:r>
        <w:rPr>
          <w:rFonts w:hint="eastAsia" w:asciiTheme="minorEastAsia" w:hAnsiTheme="minorEastAsia" w:eastAsiaTheme="minorEastAsia" w:cstheme="minorEastAsia"/>
          <w:sz w:val="21"/>
          <w:szCs w:val="21"/>
        </w:rPr>
        <w:instrText xml:space="preserve"> PAGEREF _Toc26951 \h </w:instrText>
      </w:r>
      <w:r>
        <w:rPr>
          <w:rFonts w:hint="eastAsia" w:asciiTheme="minorEastAsia" w:hAnsiTheme="minorEastAsia" w:eastAsiaTheme="minorEastAsia" w:cstheme="minorEastAsia"/>
          <w:sz w:val="21"/>
          <w:szCs w:val="21"/>
        </w:rPr>
        <w:fldChar w:fldCharType="separate"/>
      </w:r>
      <w:r>
        <w:rPr>
          <w:rFonts w:hint="eastAsia" w:asciiTheme="minorEastAsia" w:hAnsiTheme="minorEastAsia" w:eastAsiaTheme="minorEastAsia" w:cstheme="minorEastAsia"/>
          <w:sz w:val="21"/>
          <w:szCs w:val="21"/>
        </w:rPr>
        <w:t>20</w:t>
      </w:r>
      <w:r>
        <w:rPr>
          <w:rFonts w:hint="eastAsia" w:asciiTheme="minorEastAsia" w:hAnsiTheme="minorEastAsia" w:eastAsiaTheme="minorEastAsia" w:cstheme="minorEastAsia"/>
          <w:sz w:val="21"/>
          <w:szCs w:val="21"/>
        </w:rPr>
        <w:fldChar w:fldCharType="end"/>
      </w:r>
      <w:r>
        <w:rPr>
          <w:rFonts w:hint="eastAsia" w:asciiTheme="minorEastAsia" w:hAnsiTheme="minorEastAsia" w:eastAsiaTheme="minorEastAsia" w:cstheme="minorEastAsia"/>
          <w:sz w:val="21"/>
          <w:szCs w:val="21"/>
        </w:rPr>
        <w:fldChar w:fldCharType="end"/>
      </w:r>
    </w:p>
    <w:p>
      <w:pPr>
        <w:pStyle w:val="21"/>
        <w:tabs>
          <w:tab w:val="right" w:leader="dot" w:pos="8116"/>
        </w:tabs>
        <w:rPr>
          <w:rFonts w:asciiTheme="minorEastAsia" w:hAnsiTheme="minorEastAsia" w:eastAsiaTheme="minorEastAsia" w:cstheme="minorEastAsia"/>
          <w:sz w:val="21"/>
          <w:szCs w:val="21"/>
        </w:rPr>
      </w:pPr>
      <w:r>
        <w:fldChar w:fldCharType="begin"/>
      </w:r>
      <w:r>
        <w:instrText xml:space="preserve"> HYPERLINK \l "_Toc17259" </w:instrText>
      </w:r>
      <w:r>
        <w:fldChar w:fldCharType="separate"/>
      </w:r>
      <w:r>
        <w:rPr>
          <w:rFonts w:hint="eastAsia" w:asciiTheme="minorEastAsia" w:hAnsiTheme="minorEastAsia" w:eastAsiaTheme="minorEastAsia" w:cstheme="minorEastAsia"/>
          <w:bCs/>
          <w:sz w:val="21"/>
          <w:szCs w:val="21"/>
        </w:rPr>
        <w:t>三、法定代表人资格证明书</w:t>
      </w:r>
      <w:r>
        <w:rPr>
          <w:rFonts w:hint="eastAsia" w:asciiTheme="minorEastAsia" w:hAnsiTheme="minorEastAsia" w:eastAsiaTheme="minorEastAsia" w:cstheme="minorEastAsia"/>
          <w:sz w:val="21"/>
          <w:szCs w:val="21"/>
        </w:rPr>
        <w:tab/>
      </w:r>
      <w:r>
        <w:rPr>
          <w:rFonts w:hint="eastAsia" w:asciiTheme="minorEastAsia" w:hAnsiTheme="minorEastAsia" w:eastAsiaTheme="minorEastAsia" w:cstheme="minorEastAsia"/>
          <w:sz w:val="21"/>
          <w:szCs w:val="21"/>
        </w:rPr>
        <w:fldChar w:fldCharType="begin"/>
      </w:r>
      <w:r>
        <w:rPr>
          <w:rFonts w:hint="eastAsia" w:asciiTheme="minorEastAsia" w:hAnsiTheme="minorEastAsia" w:eastAsiaTheme="minorEastAsia" w:cstheme="minorEastAsia"/>
          <w:sz w:val="21"/>
          <w:szCs w:val="21"/>
        </w:rPr>
        <w:instrText xml:space="preserve"> PAGEREF _Toc17259 \h </w:instrText>
      </w:r>
      <w:r>
        <w:rPr>
          <w:rFonts w:hint="eastAsia" w:asciiTheme="minorEastAsia" w:hAnsiTheme="minorEastAsia" w:eastAsiaTheme="minorEastAsia" w:cstheme="minorEastAsia"/>
          <w:sz w:val="21"/>
          <w:szCs w:val="21"/>
        </w:rPr>
        <w:fldChar w:fldCharType="separate"/>
      </w:r>
      <w:r>
        <w:rPr>
          <w:rFonts w:hint="eastAsia" w:asciiTheme="minorEastAsia" w:hAnsiTheme="minorEastAsia" w:eastAsiaTheme="minorEastAsia" w:cstheme="minorEastAsia"/>
          <w:sz w:val="21"/>
          <w:szCs w:val="21"/>
        </w:rPr>
        <w:t>22</w:t>
      </w:r>
      <w:r>
        <w:rPr>
          <w:rFonts w:hint="eastAsia" w:asciiTheme="minorEastAsia" w:hAnsiTheme="minorEastAsia" w:eastAsiaTheme="minorEastAsia" w:cstheme="minorEastAsia"/>
          <w:sz w:val="21"/>
          <w:szCs w:val="21"/>
        </w:rPr>
        <w:fldChar w:fldCharType="end"/>
      </w:r>
      <w:r>
        <w:rPr>
          <w:rFonts w:hint="eastAsia" w:asciiTheme="minorEastAsia" w:hAnsiTheme="minorEastAsia" w:eastAsiaTheme="minorEastAsia" w:cstheme="minorEastAsia"/>
          <w:sz w:val="21"/>
          <w:szCs w:val="21"/>
        </w:rPr>
        <w:fldChar w:fldCharType="end"/>
      </w:r>
    </w:p>
    <w:p>
      <w:pPr>
        <w:pStyle w:val="21"/>
        <w:tabs>
          <w:tab w:val="right" w:leader="dot" w:pos="8116"/>
        </w:tabs>
        <w:rPr>
          <w:rFonts w:asciiTheme="minorEastAsia" w:hAnsiTheme="minorEastAsia" w:eastAsiaTheme="minorEastAsia" w:cstheme="minorEastAsia"/>
          <w:sz w:val="21"/>
          <w:szCs w:val="21"/>
        </w:rPr>
      </w:pPr>
      <w:r>
        <w:fldChar w:fldCharType="begin"/>
      </w:r>
      <w:r>
        <w:instrText xml:space="preserve"> HYPERLINK \l "_Toc10794" </w:instrText>
      </w:r>
      <w:r>
        <w:fldChar w:fldCharType="separate"/>
      </w:r>
      <w:r>
        <w:rPr>
          <w:rFonts w:hint="eastAsia" w:asciiTheme="minorEastAsia" w:hAnsiTheme="minorEastAsia" w:eastAsiaTheme="minorEastAsia" w:cstheme="minorEastAsia"/>
          <w:bCs/>
          <w:sz w:val="21"/>
          <w:szCs w:val="21"/>
        </w:rPr>
        <w:t>四、授权委托代理人联系方式</w:t>
      </w:r>
      <w:r>
        <w:rPr>
          <w:rFonts w:hint="eastAsia" w:asciiTheme="minorEastAsia" w:hAnsiTheme="minorEastAsia" w:eastAsiaTheme="minorEastAsia" w:cstheme="minorEastAsia"/>
          <w:sz w:val="21"/>
          <w:szCs w:val="21"/>
        </w:rPr>
        <w:tab/>
      </w:r>
      <w:r>
        <w:rPr>
          <w:rFonts w:hint="eastAsia" w:asciiTheme="minorEastAsia" w:hAnsiTheme="minorEastAsia" w:eastAsiaTheme="minorEastAsia" w:cstheme="minorEastAsia"/>
          <w:sz w:val="21"/>
          <w:szCs w:val="21"/>
        </w:rPr>
        <w:fldChar w:fldCharType="begin"/>
      </w:r>
      <w:r>
        <w:rPr>
          <w:rFonts w:hint="eastAsia" w:asciiTheme="minorEastAsia" w:hAnsiTheme="minorEastAsia" w:eastAsiaTheme="minorEastAsia" w:cstheme="minorEastAsia"/>
          <w:sz w:val="21"/>
          <w:szCs w:val="21"/>
        </w:rPr>
        <w:instrText xml:space="preserve"> PAGEREF _Toc10794 \h </w:instrText>
      </w:r>
      <w:r>
        <w:rPr>
          <w:rFonts w:hint="eastAsia" w:asciiTheme="minorEastAsia" w:hAnsiTheme="minorEastAsia" w:eastAsiaTheme="minorEastAsia" w:cstheme="minorEastAsia"/>
          <w:sz w:val="21"/>
          <w:szCs w:val="21"/>
        </w:rPr>
        <w:fldChar w:fldCharType="separate"/>
      </w:r>
      <w:r>
        <w:rPr>
          <w:rFonts w:hint="eastAsia" w:asciiTheme="minorEastAsia" w:hAnsiTheme="minorEastAsia" w:eastAsiaTheme="minorEastAsia" w:cstheme="minorEastAsia"/>
          <w:sz w:val="21"/>
          <w:szCs w:val="21"/>
        </w:rPr>
        <w:t>23</w:t>
      </w:r>
      <w:r>
        <w:rPr>
          <w:rFonts w:hint="eastAsia" w:asciiTheme="minorEastAsia" w:hAnsiTheme="minorEastAsia" w:eastAsiaTheme="minorEastAsia" w:cstheme="minorEastAsia"/>
          <w:sz w:val="21"/>
          <w:szCs w:val="21"/>
        </w:rPr>
        <w:fldChar w:fldCharType="end"/>
      </w:r>
      <w:r>
        <w:rPr>
          <w:rFonts w:hint="eastAsia" w:asciiTheme="minorEastAsia" w:hAnsiTheme="minorEastAsia" w:eastAsiaTheme="minorEastAsia" w:cstheme="minorEastAsia"/>
          <w:sz w:val="21"/>
          <w:szCs w:val="21"/>
        </w:rPr>
        <w:fldChar w:fldCharType="end"/>
      </w:r>
    </w:p>
    <w:p>
      <w:pPr>
        <w:pStyle w:val="21"/>
        <w:tabs>
          <w:tab w:val="right" w:leader="dot" w:pos="8116"/>
        </w:tabs>
        <w:rPr>
          <w:rFonts w:asciiTheme="minorEastAsia" w:hAnsiTheme="minorEastAsia" w:eastAsiaTheme="minorEastAsia" w:cstheme="minorEastAsia"/>
          <w:sz w:val="21"/>
          <w:szCs w:val="21"/>
        </w:rPr>
      </w:pPr>
      <w:r>
        <w:fldChar w:fldCharType="begin"/>
      </w:r>
      <w:r>
        <w:instrText xml:space="preserve"> HYPERLINK \l "_Toc13337" </w:instrText>
      </w:r>
      <w:r>
        <w:fldChar w:fldCharType="separate"/>
      </w:r>
      <w:r>
        <w:rPr>
          <w:rFonts w:hint="eastAsia" w:asciiTheme="minorEastAsia" w:hAnsiTheme="minorEastAsia" w:eastAsiaTheme="minorEastAsia" w:cstheme="minorEastAsia"/>
          <w:bCs/>
          <w:sz w:val="21"/>
          <w:szCs w:val="21"/>
        </w:rPr>
        <w:t>五、商务条款偏离表</w:t>
      </w:r>
      <w:r>
        <w:rPr>
          <w:rFonts w:hint="eastAsia" w:asciiTheme="minorEastAsia" w:hAnsiTheme="minorEastAsia" w:eastAsiaTheme="minorEastAsia" w:cstheme="minorEastAsia"/>
          <w:sz w:val="21"/>
          <w:szCs w:val="21"/>
        </w:rPr>
        <w:tab/>
      </w:r>
      <w:r>
        <w:rPr>
          <w:rFonts w:hint="eastAsia" w:asciiTheme="minorEastAsia" w:hAnsiTheme="minorEastAsia" w:eastAsiaTheme="minorEastAsia" w:cstheme="minorEastAsia"/>
          <w:sz w:val="21"/>
          <w:szCs w:val="21"/>
        </w:rPr>
        <w:fldChar w:fldCharType="begin"/>
      </w:r>
      <w:r>
        <w:rPr>
          <w:rFonts w:hint="eastAsia" w:asciiTheme="minorEastAsia" w:hAnsiTheme="minorEastAsia" w:eastAsiaTheme="minorEastAsia" w:cstheme="minorEastAsia"/>
          <w:sz w:val="21"/>
          <w:szCs w:val="21"/>
        </w:rPr>
        <w:instrText xml:space="preserve"> PAGEREF _Toc13337 \h </w:instrText>
      </w:r>
      <w:r>
        <w:rPr>
          <w:rFonts w:hint="eastAsia" w:asciiTheme="minorEastAsia" w:hAnsiTheme="minorEastAsia" w:eastAsiaTheme="minorEastAsia" w:cstheme="minorEastAsia"/>
          <w:sz w:val="21"/>
          <w:szCs w:val="21"/>
        </w:rPr>
        <w:fldChar w:fldCharType="separate"/>
      </w:r>
      <w:r>
        <w:rPr>
          <w:rFonts w:hint="eastAsia" w:asciiTheme="minorEastAsia" w:hAnsiTheme="minorEastAsia" w:eastAsiaTheme="minorEastAsia" w:cstheme="minorEastAsia"/>
          <w:sz w:val="21"/>
          <w:szCs w:val="21"/>
        </w:rPr>
        <w:t>24</w:t>
      </w:r>
      <w:r>
        <w:rPr>
          <w:rFonts w:hint="eastAsia" w:asciiTheme="minorEastAsia" w:hAnsiTheme="minorEastAsia" w:eastAsiaTheme="minorEastAsia" w:cstheme="minorEastAsia"/>
          <w:sz w:val="21"/>
          <w:szCs w:val="21"/>
        </w:rPr>
        <w:fldChar w:fldCharType="end"/>
      </w:r>
      <w:r>
        <w:rPr>
          <w:rFonts w:hint="eastAsia" w:asciiTheme="minorEastAsia" w:hAnsiTheme="minorEastAsia" w:eastAsiaTheme="minorEastAsia" w:cstheme="minorEastAsia"/>
          <w:sz w:val="21"/>
          <w:szCs w:val="21"/>
        </w:rPr>
        <w:fldChar w:fldCharType="end"/>
      </w:r>
    </w:p>
    <w:p>
      <w:pPr>
        <w:pStyle w:val="21"/>
        <w:tabs>
          <w:tab w:val="right" w:leader="dot" w:pos="8116"/>
        </w:tabs>
        <w:rPr>
          <w:rFonts w:asciiTheme="minorEastAsia" w:hAnsiTheme="minorEastAsia" w:eastAsiaTheme="minorEastAsia" w:cstheme="minorEastAsia"/>
          <w:sz w:val="21"/>
          <w:szCs w:val="21"/>
        </w:rPr>
      </w:pPr>
      <w:r>
        <w:fldChar w:fldCharType="begin"/>
      </w:r>
      <w:r>
        <w:instrText xml:space="preserve"> HYPERLINK \l "_Toc17077" </w:instrText>
      </w:r>
      <w:r>
        <w:fldChar w:fldCharType="separate"/>
      </w:r>
      <w:r>
        <w:rPr>
          <w:rFonts w:hint="eastAsia" w:asciiTheme="minorEastAsia" w:hAnsiTheme="minorEastAsia" w:eastAsiaTheme="minorEastAsia" w:cstheme="minorEastAsia"/>
          <w:bCs/>
          <w:sz w:val="21"/>
          <w:szCs w:val="21"/>
        </w:rPr>
        <w:t>六、服务条款偏离表</w:t>
      </w:r>
      <w:r>
        <w:rPr>
          <w:rFonts w:hint="eastAsia" w:asciiTheme="minorEastAsia" w:hAnsiTheme="minorEastAsia" w:eastAsiaTheme="minorEastAsia" w:cstheme="minorEastAsia"/>
          <w:sz w:val="21"/>
          <w:szCs w:val="21"/>
        </w:rPr>
        <w:tab/>
      </w:r>
      <w:r>
        <w:rPr>
          <w:rFonts w:hint="eastAsia" w:asciiTheme="minorEastAsia" w:hAnsiTheme="minorEastAsia" w:eastAsiaTheme="minorEastAsia" w:cstheme="minorEastAsia"/>
          <w:sz w:val="21"/>
          <w:szCs w:val="21"/>
        </w:rPr>
        <w:fldChar w:fldCharType="begin"/>
      </w:r>
      <w:r>
        <w:rPr>
          <w:rFonts w:hint="eastAsia" w:asciiTheme="minorEastAsia" w:hAnsiTheme="minorEastAsia" w:eastAsiaTheme="minorEastAsia" w:cstheme="minorEastAsia"/>
          <w:sz w:val="21"/>
          <w:szCs w:val="21"/>
        </w:rPr>
        <w:instrText xml:space="preserve"> PAGEREF _Toc17077 \h </w:instrText>
      </w:r>
      <w:r>
        <w:rPr>
          <w:rFonts w:hint="eastAsia" w:asciiTheme="minorEastAsia" w:hAnsiTheme="minorEastAsia" w:eastAsiaTheme="minorEastAsia" w:cstheme="minorEastAsia"/>
          <w:sz w:val="21"/>
          <w:szCs w:val="21"/>
        </w:rPr>
        <w:fldChar w:fldCharType="separate"/>
      </w:r>
      <w:r>
        <w:rPr>
          <w:rFonts w:hint="eastAsia" w:asciiTheme="minorEastAsia" w:hAnsiTheme="minorEastAsia" w:eastAsiaTheme="minorEastAsia" w:cstheme="minorEastAsia"/>
          <w:sz w:val="21"/>
          <w:szCs w:val="21"/>
        </w:rPr>
        <w:t>26</w:t>
      </w:r>
      <w:r>
        <w:rPr>
          <w:rFonts w:hint="eastAsia" w:asciiTheme="minorEastAsia" w:hAnsiTheme="minorEastAsia" w:eastAsiaTheme="minorEastAsia" w:cstheme="minorEastAsia"/>
          <w:sz w:val="21"/>
          <w:szCs w:val="21"/>
        </w:rPr>
        <w:fldChar w:fldCharType="end"/>
      </w:r>
      <w:r>
        <w:rPr>
          <w:rFonts w:hint="eastAsia" w:asciiTheme="minorEastAsia" w:hAnsiTheme="minorEastAsia" w:eastAsiaTheme="minorEastAsia" w:cstheme="minorEastAsia"/>
          <w:sz w:val="21"/>
          <w:szCs w:val="21"/>
        </w:rPr>
        <w:fldChar w:fldCharType="end"/>
      </w:r>
    </w:p>
    <w:p>
      <w:pPr>
        <w:pStyle w:val="21"/>
        <w:tabs>
          <w:tab w:val="right" w:leader="dot" w:pos="8116"/>
        </w:tabs>
        <w:rPr>
          <w:rFonts w:asciiTheme="minorEastAsia" w:hAnsiTheme="minorEastAsia" w:eastAsiaTheme="minorEastAsia" w:cstheme="minorEastAsia"/>
          <w:sz w:val="21"/>
          <w:szCs w:val="21"/>
        </w:rPr>
      </w:pPr>
      <w:r>
        <w:fldChar w:fldCharType="begin"/>
      </w:r>
      <w:r>
        <w:instrText xml:space="preserve"> HYPERLINK \l "_Toc7382" </w:instrText>
      </w:r>
      <w:r>
        <w:fldChar w:fldCharType="separate"/>
      </w:r>
      <w:r>
        <w:rPr>
          <w:rFonts w:hint="eastAsia" w:asciiTheme="minorEastAsia" w:hAnsiTheme="minorEastAsia" w:eastAsiaTheme="minorEastAsia" w:cstheme="minorEastAsia"/>
          <w:bCs/>
          <w:sz w:val="21"/>
          <w:szCs w:val="21"/>
        </w:rPr>
        <w:t>七、投标报价表</w:t>
      </w:r>
      <w:r>
        <w:rPr>
          <w:rFonts w:hint="eastAsia" w:asciiTheme="minorEastAsia" w:hAnsiTheme="minorEastAsia" w:eastAsiaTheme="minorEastAsia" w:cstheme="minorEastAsia"/>
          <w:sz w:val="21"/>
          <w:szCs w:val="21"/>
        </w:rPr>
        <w:tab/>
      </w:r>
      <w:r>
        <w:rPr>
          <w:rFonts w:hint="eastAsia" w:asciiTheme="minorEastAsia" w:hAnsiTheme="minorEastAsia" w:eastAsiaTheme="minorEastAsia" w:cstheme="minorEastAsia"/>
          <w:sz w:val="21"/>
          <w:szCs w:val="21"/>
        </w:rPr>
        <w:fldChar w:fldCharType="begin"/>
      </w:r>
      <w:r>
        <w:rPr>
          <w:rFonts w:hint="eastAsia" w:asciiTheme="minorEastAsia" w:hAnsiTheme="minorEastAsia" w:eastAsiaTheme="minorEastAsia" w:cstheme="minorEastAsia"/>
          <w:sz w:val="21"/>
          <w:szCs w:val="21"/>
        </w:rPr>
        <w:instrText xml:space="preserve"> PAGEREF _Toc7382 \h </w:instrText>
      </w:r>
      <w:r>
        <w:rPr>
          <w:rFonts w:hint="eastAsia" w:asciiTheme="minorEastAsia" w:hAnsiTheme="minorEastAsia" w:eastAsiaTheme="minorEastAsia" w:cstheme="minorEastAsia"/>
          <w:sz w:val="21"/>
          <w:szCs w:val="21"/>
        </w:rPr>
        <w:fldChar w:fldCharType="separate"/>
      </w:r>
      <w:r>
        <w:rPr>
          <w:rFonts w:hint="eastAsia" w:asciiTheme="minorEastAsia" w:hAnsiTheme="minorEastAsia" w:eastAsiaTheme="minorEastAsia" w:cstheme="minorEastAsia"/>
          <w:sz w:val="21"/>
          <w:szCs w:val="21"/>
        </w:rPr>
        <w:t>39</w:t>
      </w:r>
      <w:r>
        <w:rPr>
          <w:rFonts w:hint="eastAsia" w:asciiTheme="minorEastAsia" w:hAnsiTheme="minorEastAsia" w:eastAsiaTheme="minorEastAsia" w:cstheme="minorEastAsia"/>
          <w:sz w:val="21"/>
          <w:szCs w:val="21"/>
        </w:rPr>
        <w:fldChar w:fldCharType="end"/>
      </w:r>
      <w:r>
        <w:rPr>
          <w:rFonts w:hint="eastAsia" w:asciiTheme="minorEastAsia" w:hAnsiTheme="minorEastAsia" w:eastAsiaTheme="minorEastAsia" w:cstheme="minorEastAsia"/>
          <w:sz w:val="21"/>
          <w:szCs w:val="21"/>
        </w:rPr>
        <w:fldChar w:fldCharType="end"/>
      </w:r>
    </w:p>
    <w:p>
      <w:pPr>
        <w:pStyle w:val="21"/>
        <w:tabs>
          <w:tab w:val="right" w:leader="dot" w:pos="8116"/>
        </w:tabs>
        <w:rPr>
          <w:rFonts w:asciiTheme="minorEastAsia" w:hAnsiTheme="minorEastAsia" w:eastAsiaTheme="minorEastAsia" w:cstheme="minorEastAsia"/>
          <w:sz w:val="21"/>
          <w:szCs w:val="21"/>
        </w:rPr>
      </w:pPr>
      <w:r>
        <w:fldChar w:fldCharType="begin"/>
      </w:r>
      <w:r>
        <w:instrText xml:space="preserve"> HYPERLINK \l "_Toc6916" </w:instrText>
      </w:r>
      <w:r>
        <w:fldChar w:fldCharType="separate"/>
      </w:r>
      <w:r>
        <w:rPr>
          <w:rFonts w:hint="eastAsia" w:asciiTheme="minorEastAsia" w:hAnsiTheme="minorEastAsia" w:eastAsiaTheme="minorEastAsia" w:cstheme="minorEastAsia"/>
          <w:bCs/>
          <w:sz w:val="21"/>
          <w:szCs w:val="21"/>
        </w:rPr>
        <w:t>（一）开标一览表</w:t>
      </w:r>
      <w:r>
        <w:rPr>
          <w:rFonts w:hint="eastAsia" w:asciiTheme="minorEastAsia" w:hAnsiTheme="minorEastAsia" w:eastAsiaTheme="minorEastAsia" w:cstheme="minorEastAsia"/>
          <w:sz w:val="21"/>
          <w:szCs w:val="21"/>
        </w:rPr>
        <w:tab/>
      </w:r>
      <w:r>
        <w:rPr>
          <w:rFonts w:hint="eastAsia" w:asciiTheme="minorEastAsia" w:hAnsiTheme="minorEastAsia" w:eastAsiaTheme="minorEastAsia" w:cstheme="minorEastAsia"/>
          <w:sz w:val="21"/>
          <w:szCs w:val="21"/>
        </w:rPr>
        <w:fldChar w:fldCharType="begin"/>
      </w:r>
      <w:r>
        <w:rPr>
          <w:rFonts w:hint="eastAsia" w:asciiTheme="minorEastAsia" w:hAnsiTheme="minorEastAsia" w:eastAsiaTheme="minorEastAsia" w:cstheme="minorEastAsia"/>
          <w:sz w:val="21"/>
          <w:szCs w:val="21"/>
        </w:rPr>
        <w:instrText xml:space="preserve"> PAGEREF _Toc6916 \h </w:instrText>
      </w:r>
      <w:r>
        <w:rPr>
          <w:rFonts w:hint="eastAsia" w:asciiTheme="minorEastAsia" w:hAnsiTheme="minorEastAsia" w:eastAsiaTheme="minorEastAsia" w:cstheme="minorEastAsia"/>
          <w:sz w:val="21"/>
          <w:szCs w:val="21"/>
        </w:rPr>
        <w:fldChar w:fldCharType="separate"/>
      </w:r>
      <w:r>
        <w:rPr>
          <w:rFonts w:hint="eastAsia" w:asciiTheme="minorEastAsia" w:hAnsiTheme="minorEastAsia" w:eastAsiaTheme="minorEastAsia" w:cstheme="minorEastAsia"/>
          <w:sz w:val="21"/>
          <w:szCs w:val="21"/>
        </w:rPr>
        <w:t>39</w:t>
      </w:r>
      <w:r>
        <w:rPr>
          <w:rFonts w:hint="eastAsia" w:asciiTheme="minorEastAsia" w:hAnsiTheme="minorEastAsia" w:eastAsiaTheme="minorEastAsia" w:cstheme="minorEastAsia"/>
          <w:sz w:val="21"/>
          <w:szCs w:val="21"/>
        </w:rPr>
        <w:fldChar w:fldCharType="end"/>
      </w:r>
      <w:r>
        <w:rPr>
          <w:rFonts w:hint="eastAsia" w:asciiTheme="minorEastAsia" w:hAnsiTheme="minorEastAsia" w:eastAsiaTheme="minorEastAsia" w:cstheme="minorEastAsia"/>
          <w:sz w:val="21"/>
          <w:szCs w:val="21"/>
        </w:rPr>
        <w:fldChar w:fldCharType="end"/>
      </w:r>
    </w:p>
    <w:p>
      <w:pPr>
        <w:pStyle w:val="21"/>
        <w:tabs>
          <w:tab w:val="right" w:leader="dot" w:pos="8116"/>
        </w:tabs>
        <w:rPr>
          <w:rFonts w:asciiTheme="minorEastAsia" w:hAnsiTheme="minorEastAsia" w:eastAsiaTheme="minorEastAsia" w:cstheme="minorEastAsia"/>
          <w:sz w:val="21"/>
          <w:szCs w:val="21"/>
        </w:rPr>
      </w:pPr>
      <w:r>
        <w:fldChar w:fldCharType="begin"/>
      </w:r>
      <w:r>
        <w:instrText xml:space="preserve"> HYPERLINK \l "_Toc24439" </w:instrText>
      </w:r>
      <w:r>
        <w:fldChar w:fldCharType="separate"/>
      </w:r>
      <w:r>
        <w:rPr>
          <w:rFonts w:hint="eastAsia" w:asciiTheme="minorEastAsia" w:hAnsiTheme="minorEastAsia" w:eastAsiaTheme="minorEastAsia" w:cstheme="minorEastAsia"/>
          <w:sz w:val="21"/>
          <w:szCs w:val="21"/>
        </w:rPr>
        <w:t>（二）</w:t>
      </w:r>
      <w:r>
        <w:rPr>
          <w:rFonts w:hint="eastAsia" w:asciiTheme="minorEastAsia" w:hAnsiTheme="minorEastAsia" w:eastAsiaTheme="minorEastAsia" w:cstheme="minorEastAsia"/>
          <w:bCs/>
          <w:sz w:val="21"/>
          <w:szCs w:val="21"/>
        </w:rPr>
        <w:t>分项报价表</w:t>
      </w:r>
      <w:r>
        <w:rPr>
          <w:rFonts w:hint="eastAsia" w:asciiTheme="minorEastAsia" w:hAnsiTheme="minorEastAsia" w:eastAsiaTheme="minorEastAsia" w:cstheme="minorEastAsia"/>
          <w:sz w:val="21"/>
          <w:szCs w:val="21"/>
        </w:rPr>
        <w:tab/>
      </w:r>
      <w:r>
        <w:rPr>
          <w:rFonts w:hint="eastAsia" w:asciiTheme="minorEastAsia" w:hAnsiTheme="minorEastAsia" w:eastAsiaTheme="minorEastAsia" w:cstheme="minorEastAsia"/>
          <w:sz w:val="21"/>
          <w:szCs w:val="21"/>
        </w:rPr>
        <w:fldChar w:fldCharType="begin"/>
      </w:r>
      <w:r>
        <w:rPr>
          <w:rFonts w:hint="eastAsia" w:asciiTheme="minorEastAsia" w:hAnsiTheme="minorEastAsia" w:eastAsiaTheme="minorEastAsia" w:cstheme="minorEastAsia"/>
          <w:sz w:val="21"/>
          <w:szCs w:val="21"/>
        </w:rPr>
        <w:instrText xml:space="preserve"> PAGEREF _Toc24439 \h </w:instrText>
      </w:r>
      <w:r>
        <w:rPr>
          <w:rFonts w:hint="eastAsia" w:asciiTheme="minorEastAsia" w:hAnsiTheme="minorEastAsia" w:eastAsiaTheme="minorEastAsia" w:cstheme="minorEastAsia"/>
          <w:sz w:val="21"/>
          <w:szCs w:val="21"/>
        </w:rPr>
        <w:fldChar w:fldCharType="separate"/>
      </w:r>
      <w:r>
        <w:rPr>
          <w:rFonts w:hint="eastAsia" w:asciiTheme="minorEastAsia" w:hAnsiTheme="minorEastAsia" w:eastAsiaTheme="minorEastAsia" w:cstheme="minorEastAsia"/>
          <w:sz w:val="21"/>
          <w:szCs w:val="21"/>
        </w:rPr>
        <w:t>40</w:t>
      </w:r>
      <w:r>
        <w:rPr>
          <w:rFonts w:hint="eastAsia" w:asciiTheme="minorEastAsia" w:hAnsiTheme="minorEastAsia" w:eastAsiaTheme="minorEastAsia" w:cstheme="minorEastAsia"/>
          <w:sz w:val="21"/>
          <w:szCs w:val="21"/>
        </w:rPr>
        <w:fldChar w:fldCharType="end"/>
      </w:r>
      <w:r>
        <w:rPr>
          <w:rFonts w:hint="eastAsia" w:asciiTheme="minorEastAsia" w:hAnsiTheme="minorEastAsia" w:eastAsiaTheme="minorEastAsia" w:cstheme="minorEastAsia"/>
          <w:sz w:val="21"/>
          <w:szCs w:val="21"/>
        </w:rPr>
        <w:fldChar w:fldCharType="end"/>
      </w:r>
    </w:p>
    <w:p>
      <w:pPr>
        <w:pStyle w:val="21"/>
        <w:tabs>
          <w:tab w:val="right" w:leader="dot" w:pos="8116"/>
        </w:tabs>
        <w:rPr>
          <w:rFonts w:asciiTheme="minorEastAsia" w:hAnsiTheme="minorEastAsia" w:eastAsiaTheme="minorEastAsia" w:cstheme="minorEastAsia"/>
          <w:sz w:val="21"/>
          <w:szCs w:val="21"/>
        </w:rPr>
      </w:pPr>
      <w:r>
        <w:fldChar w:fldCharType="begin"/>
      </w:r>
      <w:r>
        <w:instrText xml:space="preserve"> HYPERLINK \l "_Toc26396" </w:instrText>
      </w:r>
      <w:r>
        <w:fldChar w:fldCharType="separate"/>
      </w:r>
      <w:r>
        <w:rPr>
          <w:rFonts w:hint="eastAsia" w:asciiTheme="minorEastAsia" w:hAnsiTheme="minorEastAsia" w:eastAsiaTheme="minorEastAsia" w:cstheme="minorEastAsia"/>
          <w:bCs/>
          <w:sz w:val="21"/>
          <w:szCs w:val="21"/>
        </w:rPr>
        <w:t>八、其他响应资料</w:t>
      </w:r>
      <w:r>
        <w:rPr>
          <w:rFonts w:hint="eastAsia" w:asciiTheme="minorEastAsia" w:hAnsiTheme="minorEastAsia" w:eastAsiaTheme="minorEastAsia" w:cstheme="minorEastAsia"/>
          <w:sz w:val="21"/>
          <w:szCs w:val="21"/>
        </w:rPr>
        <w:tab/>
      </w:r>
      <w:r>
        <w:rPr>
          <w:rFonts w:hint="eastAsia" w:asciiTheme="minorEastAsia" w:hAnsiTheme="minorEastAsia" w:eastAsiaTheme="minorEastAsia" w:cstheme="minorEastAsia"/>
          <w:sz w:val="21"/>
          <w:szCs w:val="21"/>
        </w:rPr>
        <w:fldChar w:fldCharType="begin"/>
      </w:r>
      <w:r>
        <w:rPr>
          <w:rFonts w:hint="eastAsia" w:asciiTheme="minorEastAsia" w:hAnsiTheme="minorEastAsia" w:eastAsiaTheme="minorEastAsia" w:cstheme="minorEastAsia"/>
          <w:sz w:val="21"/>
          <w:szCs w:val="21"/>
        </w:rPr>
        <w:instrText xml:space="preserve"> PAGEREF _Toc26396 \h </w:instrText>
      </w:r>
      <w:r>
        <w:rPr>
          <w:rFonts w:hint="eastAsia" w:asciiTheme="minorEastAsia" w:hAnsiTheme="minorEastAsia" w:eastAsiaTheme="minorEastAsia" w:cstheme="minorEastAsia"/>
          <w:sz w:val="21"/>
          <w:szCs w:val="21"/>
        </w:rPr>
        <w:fldChar w:fldCharType="separate"/>
      </w:r>
      <w:r>
        <w:rPr>
          <w:rFonts w:hint="eastAsia" w:asciiTheme="minorEastAsia" w:hAnsiTheme="minorEastAsia" w:eastAsiaTheme="minorEastAsia" w:cstheme="minorEastAsia"/>
          <w:sz w:val="21"/>
          <w:szCs w:val="21"/>
        </w:rPr>
        <w:t>41</w:t>
      </w:r>
      <w:r>
        <w:rPr>
          <w:rFonts w:hint="eastAsia" w:asciiTheme="minorEastAsia" w:hAnsiTheme="minorEastAsia" w:eastAsiaTheme="minorEastAsia" w:cstheme="minorEastAsia"/>
          <w:sz w:val="21"/>
          <w:szCs w:val="21"/>
        </w:rPr>
        <w:fldChar w:fldCharType="end"/>
      </w:r>
      <w:r>
        <w:rPr>
          <w:rFonts w:hint="eastAsia" w:asciiTheme="minorEastAsia" w:hAnsiTheme="minorEastAsia" w:eastAsiaTheme="minorEastAsia" w:cstheme="minorEastAsia"/>
          <w:sz w:val="21"/>
          <w:szCs w:val="21"/>
        </w:rPr>
        <w:fldChar w:fldCharType="end"/>
      </w:r>
    </w:p>
    <w:p>
      <w:pPr>
        <w:spacing w:line="360" w:lineRule="auto"/>
        <w:rPr>
          <w:rFonts w:ascii="宋体" w:hAnsi="宋体" w:eastAsia="宋体"/>
          <w:sz w:val="28"/>
          <w:szCs w:val="28"/>
        </w:rPr>
      </w:pPr>
      <w:r>
        <w:rPr>
          <w:rFonts w:hint="eastAsia" w:asciiTheme="minorEastAsia" w:hAnsiTheme="minorEastAsia" w:eastAsiaTheme="minorEastAsia" w:cstheme="minorEastAsia"/>
          <w:szCs w:val="21"/>
        </w:rPr>
        <w:fldChar w:fldCharType="end"/>
      </w:r>
    </w:p>
    <w:p>
      <w:pPr>
        <w:widowControl/>
        <w:jc w:val="left"/>
        <w:rPr>
          <w:rFonts w:ascii="宋体" w:hAnsi="宋体" w:eastAsia="宋体"/>
          <w:sz w:val="28"/>
          <w:szCs w:val="28"/>
        </w:rPr>
      </w:pPr>
      <w:r>
        <w:rPr>
          <w:rFonts w:ascii="宋体" w:hAnsi="宋体" w:eastAsia="宋体"/>
          <w:sz w:val="28"/>
          <w:szCs w:val="28"/>
        </w:rPr>
        <w:br w:type="page"/>
      </w:r>
    </w:p>
    <w:p>
      <w:pPr>
        <w:pStyle w:val="4"/>
        <w:rPr>
          <w:rFonts w:ascii="宋体" w:hAnsi="宋体"/>
          <w:sz w:val="44"/>
          <w:szCs w:val="32"/>
        </w:rPr>
      </w:pPr>
      <w:bookmarkStart w:id="10" w:name="_Toc68769460"/>
      <w:bookmarkStart w:id="11" w:name="_Toc28158"/>
      <w:bookmarkStart w:id="12" w:name="_Toc13059"/>
      <w:bookmarkStart w:id="13" w:name="_Toc15982"/>
      <w:bookmarkStart w:id="14" w:name="_Toc443"/>
      <w:bookmarkStart w:id="15" w:name="_Toc67411729"/>
      <w:r>
        <w:rPr>
          <w:rFonts w:hint="eastAsia" w:ascii="宋体" w:hAnsi="宋体"/>
          <w:sz w:val="44"/>
          <w:szCs w:val="32"/>
        </w:rPr>
        <w:t>第一章  竞价公告</w:t>
      </w:r>
      <w:bookmarkEnd w:id="10"/>
      <w:bookmarkEnd w:id="11"/>
      <w:bookmarkEnd w:id="12"/>
      <w:bookmarkEnd w:id="13"/>
      <w:bookmarkEnd w:id="14"/>
      <w:bookmarkEnd w:id="15"/>
    </w:p>
    <w:p>
      <w:pPr>
        <w:spacing w:line="360" w:lineRule="auto"/>
        <w:ind w:firstLine="480" w:firstLineChars="200"/>
        <w:rPr>
          <w:rFonts w:ascii="宋体" w:hAnsi="宋体" w:eastAsia="宋体" w:cs="宋体"/>
          <w:sz w:val="24"/>
          <w:szCs w:val="24"/>
        </w:rPr>
      </w:pPr>
      <w:bookmarkStart w:id="16" w:name="_Toc17558"/>
      <w:bookmarkStart w:id="17" w:name="_Toc475606993"/>
      <w:r>
        <w:rPr>
          <w:rFonts w:hint="eastAsia" w:ascii="宋体" w:hAnsi="宋体" w:eastAsia="宋体" w:cs="宋体"/>
          <w:sz w:val="24"/>
          <w:szCs w:val="24"/>
        </w:rPr>
        <w:t>我司受</w:t>
      </w:r>
      <w:r>
        <w:rPr>
          <w:rFonts w:hint="eastAsia" w:ascii="宋体" w:hAnsi="宋体" w:eastAsia="宋体" w:cs="宋体"/>
          <w:sz w:val="24"/>
          <w:szCs w:val="24"/>
          <w:lang w:eastAsia="zh-CN"/>
        </w:rPr>
        <w:t>深圳市公安局刑事警察支队</w:t>
      </w:r>
      <w:r>
        <w:rPr>
          <w:rFonts w:hint="eastAsia" w:ascii="宋体" w:hAnsi="宋体" w:eastAsia="宋体" w:cs="宋体"/>
          <w:sz w:val="24"/>
          <w:szCs w:val="24"/>
        </w:rPr>
        <w:t>的委托，根据深圳市公安局关于印发《深圳市公安局政府采购管理办法》及其实施细则的通知（深公（警保）字〔2022〕253号）和参照其他法律法规的有关规定，就“</w:t>
      </w:r>
      <w:r>
        <w:rPr>
          <w:rFonts w:hint="eastAsia" w:ascii="宋体" w:hAnsi="宋体" w:eastAsia="宋体" w:cs="宋体"/>
          <w:sz w:val="24"/>
          <w:szCs w:val="24"/>
          <w:lang w:val="zh-CN"/>
        </w:rPr>
        <w:t>2024年化验科部分检验设备维保项目</w:t>
      </w:r>
      <w:r>
        <w:rPr>
          <w:rFonts w:hint="eastAsia" w:ascii="宋体" w:hAnsi="宋体" w:eastAsia="宋体" w:cs="宋体"/>
          <w:sz w:val="24"/>
          <w:szCs w:val="24"/>
        </w:rPr>
        <w:t>”通过公开竞价方式选择供应商。欢迎符合资格要求并有履约能力的供应商参与竞价。</w:t>
      </w:r>
    </w:p>
    <w:p>
      <w:pPr>
        <w:pStyle w:val="5"/>
        <w:tabs>
          <w:tab w:val="left" w:pos="1800"/>
        </w:tabs>
        <w:spacing w:before="120" w:after="120" w:line="360" w:lineRule="auto"/>
        <w:rPr>
          <w:rFonts w:cs="仿宋" w:asciiTheme="minorEastAsia" w:hAnsiTheme="minorEastAsia" w:eastAsiaTheme="minorEastAsia"/>
          <w:sz w:val="24"/>
          <w:szCs w:val="28"/>
        </w:rPr>
      </w:pPr>
      <w:bookmarkStart w:id="18" w:name="_Toc10266"/>
      <w:bookmarkStart w:id="19" w:name="_Toc68769461"/>
      <w:bookmarkStart w:id="20" w:name="_Toc67411730"/>
      <w:bookmarkStart w:id="21" w:name="_Toc15005"/>
      <w:bookmarkStart w:id="22" w:name="_Toc27428"/>
      <w:r>
        <w:rPr>
          <w:rFonts w:hint="eastAsia" w:cs="仿宋" w:asciiTheme="minorEastAsia" w:hAnsiTheme="minorEastAsia" w:eastAsiaTheme="minorEastAsia"/>
          <w:sz w:val="24"/>
          <w:szCs w:val="28"/>
        </w:rPr>
        <w:t>一、项目基本情况</w:t>
      </w:r>
      <w:bookmarkEnd w:id="18"/>
      <w:bookmarkEnd w:id="19"/>
      <w:bookmarkEnd w:id="20"/>
      <w:bookmarkEnd w:id="21"/>
      <w:bookmarkEnd w:id="22"/>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1、项目编号：CGXM2311170004</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2、项目名称：2024年化验科部分检验设备维保项目</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3、采购标的：</w:t>
      </w:r>
    </w:p>
    <w:tbl>
      <w:tblPr>
        <w:tblStyle w:val="24"/>
        <w:tblW w:w="492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8"/>
        <w:gridCol w:w="2103"/>
        <w:gridCol w:w="802"/>
        <w:gridCol w:w="818"/>
        <w:gridCol w:w="1992"/>
        <w:gridCol w:w="17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7" w:type="pct"/>
            <w:vAlign w:val="center"/>
          </w:tcPr>
          <w:p>
            <w:pPr>
              <w:widowControl/>
              <w:adjustRightInd w:val="0"/>
              <w:spacing w:line="360" w:lineRule="auto"/>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序号</w:t>
            </w:r>
          </w:p>
        </w:tc>
        <w:tc>
          <w:tcPr>
            <w:tcW w:w="1280" w:type="pct"/>
            <w:vAlign w:val="center"/>
          </w:tcPr>
          <w:p>
            <w:pPr>
              <w:widowControl/>
              <w:adjustRightInd w:val="0"/>
              <w:spacing w:line="360" w:lineRule="auto"/>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项目名称</w:t>
            </w:r>
          </w:p>
        </w:tc>
        <w:tc>
          <w:tcPr>
            <w:tcW w:w="488" w:type="pct"/>
            <w:vAlign w:val="center"/>
          </w:tcPr>
          <w:p>
            <w:pPr>
              <w:widowControl/>
              <w:adjustRightInd w:val="0"/>
              <w:spacing w:line="360" w:lineRule="auto"/>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数量</w:t>
            </w:r>
          </w:p>
        </w:tc>
        <w:tc>
          <w:tcPr>
            <w:tcW w:w="497" w:type="pct"/>
            <w:vAlign w:val="center"/>
          </w:tcPr>
          <w:p>
            <w:pPr>
              <w:widowControl/>
              <w:adjustRightInd w:val="0"/>
              <w:spacing w:line="360" w:lineRule="auto"/>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单位</w:t>
            </w:r>
          </w:p>
        </w:tc>
        <w:tc>
          <w:tcPr>
            <w:tcW w:w="1212" w:type="pct"/>
            <w:vAlign w:val="center"/>
          </w:tcPr>
          <w:p>
            <w:pPr>
              <w:widowControl/>
              <w:adjustRightInd w:val="0"/>
              <w:spacing w:line="360" w:lineRule="auto"/>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预算金额（元）</w:t>
            </w:r>
          </w:p>
        </w:tc>
        <w:tc>
          <w:tcPr>
            <w:tcW w:w="1083" w:type="pct"/>
            <w:vAlign w:val="center"/>
          </w:tcPr>
          <w:p>
            <w:pPr>
              <w:widowControl/>
              <w:adjustRightInd w:val="0"/>
              <w:spacing w:line="360" w:lineRule="auto"/>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合同履行期限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7" w:type="pct"/>
            <w:vAlign w:val="center"/>
          </w:tcPr>
          <w:p>
            <w:pPr>
              <w:widowControl/>
              <w:spacing w:line="360" w:lineRule="auto"/>
              <w:jc w:val="center"/>
              <w:rPr>
                <w:rFonts w:cs="宋体" w:asciiTheme="minorEastAsia" w:hAnsiTheme="minorEastAsia" w:eastAsiaTheme="minorEastAsia"/>
                <w:color w:val="000000"/>
                <w:kern w:val="0"/>
                <w:sz w:val="24"/>
                <w:szCs w:val="24"/>
              </w:rPr>
            </w:pPr>
            <w:r>
              <w:rPr>
                <w:rFonts w:hint="eastAsia" w:cs="宋体" w:asciiTheme="minorEastAsia" w:hAnsiTheme="minorEastAsia" w:eastAsiaTheme="minorEastAsia"/>
                <w:color w:val="000000"/>
                <w:kern w:val="0"/>
                <w:sz w:val="24"/>
                <w:szCs w:val="24"/>
              </w:rPr>
              <w:t>1</w:t>
            </w:r>
          </w:p>
        </w:tc>
        <w:tc>
          <w:tcPr>
            <w:tcW w:w="1280" w:type="pct"/>
            <w:vAlign w:val="center"/>
          </w:tcPr>
          <w:p>
            <w:pPr>
              <w:spacing w:line="360" w:lineRule="auto"/>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lang w:val="zh-CN"/>
              </w:rPr>
              <w:t>2024年化验科部分检验设备维保项目</w:t>
            </w:r>
          </w:p>
        </w:tc>
        <w:tc>
          <w:tcPr>
            <w:tcW w:w="488" w:type="pct"/>
            <w:vAlign w:val="center"/>
          </w:tcPr>
          <w:p>
            <w:pPr>
              <w:spacing w:line="360" w:lineRule="auto"/>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1</w:t>
            </w:r>
          </w:p>
        </w:tc>
        <w:tc>
          <w:tcPr>
            <w:tcW w:w="497" w:type="pct"/>
            <w:vAlign w:val="center"/>
          </w:tcPr>
          <w:p>
            <w:pPr>
              <w:widowControl/>
              <w:spacing w:line="360" w:lineRule="auto"/>
              <w:jc w:val="center"/>
              <w:rPr>
                <w:rFonts w:cs="宋体" w:asciiTheme="minorEastAsia" w:hAnsiTheme="minorEastAsia" w:eastAsiaTheme="minorEastAsia"/>
                <w:color w:val="000000"/>
                <w:kern w:val="0"/>
                <w:sz w:val="24"/>
                <w:szCs w:val="24"/>
              </w:rPr>
            </w:pPr>
            <w:r>
              <w:rPr>
                <w:rFonts w:hint="eastAsia" w:cs="宋体" w:asciiTheme="minorEastAsia" w:hAnsiTheme="minorEastAsia" w:eastAsiaTheme="minorEastAsia"/>
                <w:color w:val="000000"/>
                <w:kern w:val="0"/>
                <w:sz w:val="24"/>
                <w:szCs w:val="24"/>
              </w:rPr>
              <w:t>项</w:t>
            </w:r>
          </w:p>
        </w:tc>
        <w:tc>
          <w:tcPr>
            <w:tcW w:w="1212" w:type="pct"/>
            <w:vAlign w:val="center"/>
          </w:tcPr>
          <w:p>
            <w:pPr>
              <w:spacing w:line="360" w:lineRule="auto"/>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600,000.00</w:t>
            </w:r>
          </w:p>
        </w:tc>
        <w:tc>
          <w:tcPr>
            <w:tcW w:w="1083" w:type="pct"/>
            <w:vAlign w:val="center"/>
          </w:tcPr>
          <w:p>
            <w:pPr>
              <w:spacing w:line="360" w:lineRule="auto"/>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详见竞价文件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703" w:type="pct"/>
            <w:gridSpan w:val="4"/>
            <w:vAlign w:val="center"/>
          </w:tcPr>
          <w:p>
            <w:pPr>
              <w:widowControl/>
              <w:spacing w:line="360" w:lineRule="auto"/>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合计</w:t>
            </w:r>
          </w:p>
        </w:tc>
        <w:tc>
          <w:tcPr>
            <w:tcW w:w="2296" w:type="pct"/>
            <w:gridSpan w:val="2"/>
            <w:vAlign w:val="center"/>
          </w:tcPr>
          <w:p>
            <w:pPr>
              <w:spacing w:line="360" w:lineRule="auto"/>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600,000.00</w:t>
            </w:r>
          </w:p>
        </w:tc>
      </w:tr>
    </w:tbl>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4、服务期、服务要求、商务要求等内容详见竞价采购需求。</w:t>
      </w:r>
    </w:p>
    <w:p>
      <w:pPr>
        <w:pStyle w:val="5"/>
        <w:tabs>
          <w:tab w:val="left" w:pos="1800"/>
        </w:tabs>
        <w:spacing w:before="120" w:after="120" w:line="360" w:lineRule="auto"/>
        <w:rPr>
          <w:rFonts w:cs="仿宋" w:asciiTheme="minorEastAsia" w:hAnsiTheme="minorEastAsia" w:eastAsiaTheme="minorEastAsia"/>
          <w:sz w:val="24"/>
          <w:szCs w:val="28"/>
        </w:rPr>
      </w:pPr>
      <w:bookmarkStart w:id="23" w:name="_Toc11291"/>
      <w:bookmarkStart w:id="24" w:name="_Toc29595"/>
      <w:bookmarkStart w:id="25" w:name="_Toc68769462"/>
      <w:bookmarkStart w:id="26" w:name="_Toc12042"/>
      <w:bookmarkStart w:id="27" w:name="_Toc67411731"/>
      <w:r>
        <w:rPr>
          <w:rFonts w:hint="eastAsia" w:cs="仿宋" w:asciiTheme="minorEastAsia" w:hAnsiTheme="minorEastAsia" w:eastAsiaTheme="minorEastAsia"/>
          <w:sz w:val="24"/>
          <w:szCs w:val="28"/>
        </w:rPr>
        <w:t>二、供应商资格及要求</w:t>
      </w:r>
      <w:bookmarkEnd w:id="23"/>
      <w:bookmarkEnd w:id="24"/>
      <w:bookmarkEnd w:id="25"/>
      <w:bookmarkEnd w:id="26"/>
      <w:bookmarkEnd w:id="27"/>
    </w:p>
    <w:p>
      <w:pPr>
        <w:spacing w:line="336" w:lineRule="auto"/>
        <w:ind w:firstLine="480" w:firstLineChars="200"/>
        <w:rPr>
          <w:rFonts w:ascii="宋体" w:hAnsi="宋体" w:eastAsia="宋体" w:cs="宋体"/>
          <w:sz w:val="24"/>
          <w:szCs w:val="24"/>
        </w:rPr>
      </w:pPr>
      <w:r>
        <w:rPr>
          <w:rFonts w:ascii="宋体" w:hAnsi="宋体" w:eastAsia="宋体" w:cs="宋体"/>
          <w:sz w:val="24"/>
          <w:szCs w:val="24"/>
        </w:rPr>
        <w:t>1、</w:t>
      </w:r>
      <w:r>
        <w:rPr>
          <w:rFonts w:hint="eastAsia" w:ascii="宋体" w:hAnsi="宋体" w:eastAsia="宋体" w:cs="宋体"/>
          <w:sz w:val="24"/>
          <w:szCs w:val="24"/>
        </w:rPr>
        <w:t>具有独立法人资格或是具有独立承担民事责任能力的其它组织（提供营业执照或事业单位法人证书等证明资料扫描件加盖投标人公章，原件备查）；</w:t>
      </w:r>
    </w:p>
    <w:p>
      <w:pPr>
        <w:spacing w:line="336" w:lineRule="auto"/>
        <w:ind w:firstLine="480" w:firstLineChars="200"/>
        <w:rPr>
          <w:rFonts w:ascii="宋体" w:hAnsi="宋体" w:eastAsia="宋体" w:cs="宋体"/>
          <w:sz w:val="24"/>
          <w:szCs w:val="24"/>
        </w:rPr>
      </w:pPr>
      <w:r>
        <w:rPr>
          <w:rFonts w:ascii="宋体" w:hAnsi="宋体" w:eastAsia="宋体" w:cs="宋体"/>
          <w:sz w:val="24"/>
          <w:szCs w:val="24"/>
        </w:rPr>
        <w:t>2、</w:t>
      </w:r>
      <w:r>
        <w:rPr>
          <w:rFonts w:hint="eastAsia" w:ascii="宋体" w:hAnsi="宋体" w:eastAsia="宋体" w:cs="宋体"/>
          <w:sz w:val="24"/>
          <w:szCs w:val="24"/>
        </w:rPr>
        <w:t>投标人近三年内（即从2020年11月开始起算，供应商成立不足三年的可从成立之日起算）无行贿犯罪记录（由供应商在《承诺函》中作出声明）；中国裁判文书网(</w:t>
      </w:r>
      <w:r>
        <w:fldChar w:fldCharType="begin"/>
      </w:r>
      <w:r>
        <w:instrText xml:space="preserve"> HYPERLINK "http://wenshu.court.gov.cn/" </w:instrText>
      </w:r>
      <w:r>
        <w:fldChar w:fldCharType="separate"/>
      </w:r>
      <w:r>
        <w:rPr>
          <w:rFonts w:hint="eastAsia" w:ascii="宋体" w:hAnsi="宋体" w:eastAsia="宋体" w:cs="宋体"/>
          <w:sz w:val="24"/>
          <w:szCs w:val="24"/>
        </w:rPr>
        <w:t>http://wenshu.court.gov.cn</w:t>
      </w:r>
      <w:r>
        <w:rPr>
          <w:rFonts w:hint="eastAsia" w:ascii="宋体" w:hAnsi="宋体" w:eastAsia="宋体" w:cs="宋体"/>
          <w:sz w:val="24"/>
          <w:szCs w:val="24"/>
        </w:rPr>
        <w:fldChar w:fldCharType="end"/>
      </w:r>
      <w:r>
        <w:fldChar w:fldCharType="begin"/>
      </w:r>
      <w:r>
        <w:instrText xml:space="preserve"> HYPERLINK "http://wenshu.court.gov.cn/" </w:instrText>
      </w:r>
      <w:r>
        <w:fldChar w:fldCharType="separate"/>
      </w:r>
      <w:r>
        <w:rPr>
          <w:rFonts w:hint="eastAsia" w:ascii="宋体" w:hAnsi="宋体" w:eastAsia="宋体" w:cs="宋体"/>
          <w:sz w:val="24"/>
          <w:szCs w:val="24"/>
        </w:rPr>
        <w:t>/</w:t>
      </w:r>
      <w:r>
        <w:rPr>
          <w:rFonts w:hint="eastAsia" w:ascii="宋体" w:hAnsi="宋体" w:eastAsia="宋体" w:cs="宋体"/>
          <w:sz w:val="24"/>
          <w:szCs w:val="24"/>
        </w:rPr>
        <w:fldChar w:fldCharType="end"/>
      </w:r>
      <w:r>
        <w:rPr>
          <w:rFonts w:hint="eastAsia" w:ascii="宋体" w:hAnsi="宋体" w:eastAsia="宋体" w:cs="宋体"/>
          <w:sz w:val="24"/>
          <w:szCs w:val="24"/>
        </w:rPr>
        <w:t>)为查询渠道，相关信息以</w:t>
      </w:r>
      <w:r>
        <w:rPr>
          <w:rFonts w:hint="eastAsia" w:ascii="宋体" w:hAnsi="宋体" w:eastAsia="宋体" w:cs="宋体"/>
          <w:b/>
          <w:bCs/>
          <w:sz w:val="24"/>
          <w:szCs w:val="24"/>
        </w:rPr>
        <w:t>采购</w:t>
      </w:r>
      <w:r>
        <w:rPr>
          <w:rFonts w:hint="eastAsia" w:ascii="宋体" w:hAnsi="宋体" w:eastAsia="宋体" w:cs="宋体"/>
          <w:sz w:val="24"/>
          <w:szCs w:val="24"/>
        </w:rPr>
        <w:t>代理机构开标当日的查询结果为准；</w:t>
      </w:r>
    </w:p>
    <w:p>
      <w:pPr>
        <w:spacing w:line="336" w:lineRule="auto"/>
        <w:ind w:firstLine="480" w:firstLineChars="200"/>
        <w:rPr>
          <w:rFonts w:ascii="宋体" w:hAnsi="宋体" w:eastAsia="宋体" w:cs="宋体"/>
          <w:sz w:val="24"/>
          <w:szCs w:val="24"/>
        </w:rPr>
      </w:pPr>
      <w:r>
        <w:rPr>
          <w:rFonts w:hint="eastAsia" w:ascii="宋体" w:hAnsi="宋体" w:eastAsia="宋体" w:cs="宋体"/>
          <w:sz w:val="24"/>
          <w:szCs w:val="24"/>
        </w:rPr>
        <w:t>3、未被列入失信被执行人、重大税收违法失信主体、政府采购严重违法失信行为记录名单（由供应商在《承诺函》中作出声明）；</w:t>
      </w:r>
    </w:p>
    <w:p>
      <w:pPr>
        <w:spacing w:line="336" w:lineRule="auto"/>
        <w:ind w:firstLine="482" w:firstLineChars="200"/>
        <w:rPr>
          <w:rFonts w:ascii="宋体" w:hAnsi="宋体" w:eastAsia="宋体" w:cs="宋体"/>
          <w:sz w:val="24"/>
          <w:szCs w:val="24"/>
        </w:rPr>
      </w:pPr>
      <w:r>
        <w:rPr>
          <w:rFonts w:hint="eastAsia" w:ascii="宋体" w:hAnsi="宋体" w:eastAsia="宋体" w:cs="宋体"/>
          <w:b/>
          <w:bCs/>
          <w:sz w:val="24"/>
          <w:szCs w:val="24"/>
        </w:rPr>
        <w:t>注：（1）“信用中国”、“中国政府采购网”、“深圳信用网”以及“深圳市政府采购监管网”为供应商信用信息的查询渠道，相关信息以开标当日采购代理机构的查询结果为准；</w:t>
      </w:r>
    </w:p>
    <w:p>
      <w:pPr>
        <w:spacing w:line="336" w:lineRule="auto"/>
        <w:ind w:firstLine="480" w:firstLineChars="200"/>
        <w:rPr>
          <w:rFonts w:ascii="宋体" w:hAnsi="宋体" w:eastAsia="宋体" w:cs="宋体"/>
          <w:sz w:val="24"/>
          <w:szCs w:val="24"/>
        </w:rPr>
      </w:pPr>
      <w:r>
        <w:rPr>
          <w:rFonts w:hint="eastAsia" w:ascii="宋体" w:hAnsi="宋体" w:eastAsia="宋体" w:cs="宋体"/>
          <w:sz w:val="24"/>
          <w:szCs w:val="24"/>
        </w:rPr>
        <w:t>4、依据《中华人民共和国政府采购法实施条例》第十八条规定，单位负责人为同一人或者存在直接控股、管理关系的不同供应商，不得参加同一合同项下的政府采购活动（由供应商在《承诺函》中作出声明）；</w:t>
      </w:r>
    </w:p>
    <w:p>
      <w:pPr>
        <w:spacing w:line="336" w:lineRule="auto"/>
        <w:ind w:firstLine="480" w:firstLineChars="200"/>
        <w:rPr>
          <w:rFonts w:ascii="宋体" w:hAnsi="宋体" w:eastAsia="宋体" w:cs="宋体"/>
          <w:sz w:val="24"/>
          <w:szCs w:val="24"/>
        </w:rPr>
      </w:pPr>
      <w:r>
        <w:rPr>
          <w:rFonts w:hint="eastAsia" w:ascii="宋体" w:hAnsi="宋体" w:eastAsia="宋体" w:cs="宋体"/>
          <w:sz w:val="24"/>
          <w:szCs w:val="24"/>
        </w:rPr>
        <w:t>5</w:t>
      </w:r>
      <w:r>
        <w:rPr>
          <w:rFonts w:ascii="宋体" w:hAnsi="宋体" w:eastAsia="宋体" w:cs="宋体"/>
          <w:sz w:val="24"/>
          <w:szCs w:val="24"/>
        </w:rPr>
        <w:t>、</w:t>
      </w:r>
      <w:r>
        <w:rPr>
          <w:rFonts w:hint="eastAsia" w:ascii="宋体" w:hAnsi="宋体" w:eastAsia="宋体" w:cs="宋体"/>
          <w:sz w:val="24"/>
          <w:szCs w:val="24"/>
        </w:rPr>
        <w:t>本项目不接受联合体投标，不允许转包分包（由供应商在《承诺函》中作出声明）。</w:t>
      </w:r>
    </w:p>
    <w:p>
      <w:pPr>
        <w:pStyle w:val="5"/>
        <w:tabs>
          <w:tab w:val="left" w:pos="1800"/>
        </w:tabs>
        <w:spacing w:before="120" w:after="120" w:line="360" w:lineRule="auto"/>
        <w:rPr>
          <w:rFonts w:cs="仿宋" w:asciiTheme="minorEastAsia" w:hAnsiTheme="minorEastAsia" w:eastAsiaTheme="minorEastAsia"/>
          <w:sz w:val="24"/>
          <w:szCs w:val="28"/>
        </w:rPr>
      </w:pPr>
      <w:bookmarkStart w:id="28" w:name="_Toc5510"/>
      <w:bookmarkStart w:id="29" w:name="_Toc10198"/>
      <w:bookmarkStart w:id="30" w:name="_Toc68769463"/>
      <w:bookmarkStart w:id="31" w:name="_Toc20742"/>
      <w:bookmarkStart w:id="32" w:name="_Toc67411732"/>
      <w:r>
        <w:rPr>
          <w:rFonts w:hint="eastAsia" w:cs="仿宋" w:asciiTheme="minorEastAsia" w:hAnsiTheme="minorEastAsia" w:eastAsiaTheme="minorEastAsia"/>
          <w:sz w:val="24"/>
          <w:szCs w:val="28"/>
        </w:rPr>
        <w:t>三、供应商竞价程序及时间安排</w:t>
      </w:r>
      <w:bookmarkEnd w:id="28"/>
      <w:bookmarkEnd w:id="29"/>
      <w:bookmarkEnd w:id="30"/>
      <w:bookmarkEnd w:id="31"/>
    </w:p>
    <w:p>
      <w:pPr>
        <w:widowControl/>
        <w:adjustRightInd w:val="0"/>
        <w:spacing w:line="348" w:lineRule="auto"/>
        <w:ind w:firstLine="482" w:firstLineChars="200"/>
        <w:jc w:val="left"/>
        <w:rPr>
          <w:rFonts w:ascii="宋体" w:hAnsi="宋体" w:eastAsia="宋体" w:cs="宋体"/>
          <w:b/>
          <w:kern w:val="0"/>
          <w:sz w:val="24"/>
          <w:szCs w:val="24"/>
        </w:rPr>
      </w:pPr>
      <w:r>
        <w:rPr>
          <w:rFonts w:hint="eastAsia" w:ascii="宋体" w:hAnsi="宋体" w:eastAsia="宋体" w:cs="宋体"/>
          <w:b/>
          <w:kern w:val="0"/>
          <w:sz w:val="24"/>
          <w:szCs w:val="24"/>
        </w:rPr>
        <w:t>1、竞价程序：</w:t>
      </w:r>
    </w:p>
    <w:p>
      <w:pPr>
        <w:spacing w:line="348" w:lineRule="auto"/>
        <w:ind w:firstLine="440" w:firstLineChars="200"/>
        <w:rPr>
          <w:rFonts w:ascii="宋体" w:hAnsi="宋体" w:eastAsia="宋体" w:cs="宋体"/>
          <w:color w:val="C00000"/>
          <w:sz w:val="22"/>
          <w:szCs w:val="24"/>
        </w:rPr>
      </w:pPr>
      <w:r>
        <w:rPr>
          <w:rFonts w:hint="eastAsia" w:ascii="宋体" w:hAnsi="宋体" w:eastAsia="宋体" w:cs="宋体"/>
          <w:color w:val="C00000"/>
          <w:sz w:val="22"/>
          <w:szCs w:val="24"/>
        </w:rPr>
        <w:t>注：</w:t>
      </w:r>
      <w:r>
        <w:rPr>
          <w:rFonts w:ascii="宋体" w:hAnsi="宋体" w:eastAsia="宋体" w:cs="宋体"/>
          <w:color w:val="C00000"/>
          <w:sz w:val="22"/>
          <w:szCs w:val="24"/>
        </w:rPr>
        <w:t>A.供应商须先行注册成为供应商，审核通过后，方可进行竞价服务</w:t>
      </w:r>
      <w:r>
        <w:rPr>
          <w:rFonts w:hint="eastAsia" w:ascii="宋体" w:hAnsi="宋体" w:eastAsia="宋体" w:cs="宋体"/>
          <w:color w:val="C00000"/>
          <w:sz w:val="22"/>
          <w:szCs w:val="24"/>
        </w:rPr>
        <w:t>。</w:t>
      </w:r>
    </w:p>
    <w:p>
      <w:pPr>
        <w:spacing w:line="348" w:lineRule="auto"/>
        <w:ind w:firstLine="891" w:firstLineChars="405"/>
        <w:rPr>
          <w:rFonts w:ascii="宋体" w:hAnsi="宋体" w:eastAsia="宋体" w:cs="宋体"/>
          <w:color w:val="C00000"/>
          <w:sz w:val="22"/>
          <w:szCs w:val="24"/>
        </w:rPr>
      </w:pPr>
      <w:r>
        <w:rPr>
          <w:rFonts w:ascii="宋体" w:hAnsi="宋体" w:eastAsia="宋体" w:cs="宋体"/>
          <w:color w:val="C00000"/>
          <w:sz w:val="22"/>
          <w:szCs w:val="24"/>
        </w:rPr>
        <w:t>B.应答文件需</w:t>
      </w:r>
      <w:r>
        <w:rPr>
          <w:rFonts w:hint="eastAsia" w:ascii="宋体" w:hAnsi="宋体" w:eastAsia="宋体" w:cs="宋体"/>
          <w:color w:val="C00000"/>
          <w:sz w:val="22"/>
          <w:szCs w:val="24"/>
        </w:rPr>
        <w:t>生成压缩包后缀</w:t>
      </w:r>
      <w:r>
        <w:rPr>
          <w:rFonts w:ascii="宋体" w:hAnsi="宋体" w:eastAsia="宋体" w:cs="宋体"/>
          <w:color w:val="C00000"/>
          <w:sz w:val="22"/>
          <w:szCs w:val="24"/>
        </w:rPr>
        <w:t>为</w:t>
      </w:r>
      <w:r>
        <w:rPr>
          <w:rFonts w:ascii="宋体" w:hAnsi="宋体" w:eastAsia="宋体" w:cs="宋体"/>
          <w:b/>
          <w:color w:val="C00000"/>
          <w:sz w:val="24"/>
          <w:szCs w:val="28"/>
        </w:rPr>
        <w:t>.</w:t>
      </w:r>
      <w:r>
        <w:rPr>
          <w:rFonts w:hint="eastAsia" w:ascii="宋体" w:hAnsi="宋体" w:eastAsia="宋体" w:cs="宋体"/>
          <w:b/>
          <w:color w:val="C00000"/>
          <w:sz w:val="24"/>
          <w:szCs w:val="28"/>
        </w:rPr>
        <w:t>rar</w:t>
      </w:r>
      <w:r>
        <w:rPr>
          <w:rFonts w:ascii="宋体" w:hAnsi="宋体" w:eastAsia="宋体" w:cs="宋体"/>
          <w:color w:val="C00000"/>
          <w:sz w:val="22"/>
          <w:szCs w:val="24"/>
        </w:rPr>
        <w:t>格式</w:t>
      </w:r>
      <w:r>
        <w:rPr>
          <w:rFonts w:hint="eastAsia" w:ascii="宋体" w:hAnsi="宋体" w:eastAsia="宋体" w:cs="宋体"/>
          <w:color w:val="C00000"/>
          <w:sz w:val="22"/>
          <w:szCs w:val="24"/>
        </w:rPr>
        <w:t>的应答文件</w:t>
      </w:r>
      <w:r>
        <w:rPr>
          <w:rFonts w:ascii="宋体" w:hAnsi="宋体" w:eastAsia="宋体" w:cs="宋体"/>
          <w:color w:val="C00000"/>
          <w:sz w:val="22"/>
          <w:szCs w:val="24"/>
        </w:rPr>
        <w:t>。</w:t>
      </w:r>
    </w:p>
    <w:p>
      <w:pPr>
        <w:spacing w:beforeLines="50" w:line="348" w:lineRule="auto"/>
        <w:ind w:firstLine="880" w:firstLineChars="400"/>
        <w:rPr>
          <w:rFonts w:ascii="宋体" w:hAnsi="宋体" w:eastAsia="宋体" w:cs="宋体"/>
          <w:sz w:val="24"/>
          <w:szCs w:val="24"/>
        </w:rPr>
      </w:pPr>
      <w:r>
        <w:rPr>
          <w:rFonts w:hint="eastAsia" w:ascii="宋体" w:hAnsi="宋体" w:eastAsia="宋体" w:cs="宋体"/>
          <w:color w:val="C00000"/>
          <w:sz w:val="22"/>
          <w:szCs w:val="24"/>
        </w:rPr>
        <w:t>C.《供应商参与竞价操作手册》请前往中吉国际项目管理有限公司广东分公司(输入链接网址http://www.zjzbgdfgs.com/)进入</w:t>
      </w:r>
      <w:r>
        <w:rPr>
          <w:rFonts w:hint="eastAsia" w:ascii="宋体" w:hAnsi="宋体" w:eastAsia="宋体" w:cs="宋体"/>
          <w:b/>
          <w:color w:val="C00000"/>
          <w:sz w:val="22"/>
          <w:szCs w:val="24"/>
        </w:rPr>
        <w:t>下载中心下载</w:t>
      </w:r>
      <w:r>
        <w:rPr>
          <w:rFonts w:hint="eastAsia" w:ascii="宋体" w:hAnsi="宋体" w:eastAsia="宋体" w:cs="宋体"/>
          <w:color w:val="C00000"/>
          <w:sz w:val="22"/>
          <w:szCs w:val="24"/>
        </w:rPr>
        <w:t>。</w:t>
      </w:r>
    </w:p>
    <w:p>
      <w:pPr>
        <w:spacing w:line="348" w:lineRule="auto"/>
        <w:ind w:firstLine="480" w:firstLineChars="200"/>
        <w:rPr>
          <w:rFonts w:ascii="宋体" w:hAnsi="宋体" w:eastAsia="宋体" w:cs="宋体"/>
          <w:sz w:val="24"/>
          <w:szCs w:val="24"/>
        </w:rPr>
      </w:pPr>
      <w:r>
        <w:rPr>
          <w:rFonts w:ascii="宋体" w:hAnsi="宋体" w:eastAsia="宋体" w:cs="宋体"/>
          <w:sz w:val="24"/>
          <w:szCs w:val="24"/>
        </w:rPr>
        <w:t>（1）投标响应。凡愿意参加竞价的合格供应</w:t>
      </w:r>
      <w:r>
        <w:rPr>
          <w:rFonts w:hint="eastAsia" w:ascii="宋体" w:hAnsi="宋体" w:eastAsia="宋体" w:cs="宋体"/>
          <w:sz w:val="24"/>
          <w:szCs w:val="24"/>
        </w:rPr>
        <w:t>商</w:t>
      </w:r>
      <w:r>
        <w:rPr>
          <w:rFonts w:ascii="宋体" w:hAnsi="宋体" w:eastAsia="宋体" w:cs="宋体"/>
          <w:sz w:val="24"/>
          <w:szCs w:val="24"/>
        </w:rPr>
        <w:t>，在竞价截止时间前，</w:t>
      </w:r>
      <w:r>
        <w:rPr>
          <w:rFonts w:hint="eastAsia" w:ascii="宋体" w:hAnsi="宋体" w:eastAsia="宋体" w:cs="宋体"/>
          <w:sz w:val="24"/>
          <w:szCs w:val="24"/>
        </w:rPr>
        <w:t>请前往中吉国际项目管理有限公司广东分公司【竞价专区】（输入链接网址http://www.zjzbgdfgs.com/）竞价专区</w:t>
      </w:r>
      <w:r>
        <w:rPr>
          <w:rFonts w:ascii="宋体" w:hAnsi="宋体" w:eastAsia="宋体" w:cs="宋体"/>
          <w:sz w:val="24"/>
          <w:szCs w:val="24"/>
        </w:rPr>
        <w:t>，</w:t>
      </w:r>
      <w:r>
        <w:rPr>
          <w:rFonts w:hint="eastAsia" w:ascii="宋体" w:hAnsi="宋体" w:eastAsia="宋体" w:cs="宋体"/>
          <w:sz w:val="24"/>
          <w:szCs w:val="24"/>
        </w:rPr>
        <w:t>免费报名</w:t>
      </w:r>
      <w:r>
        <w:rPr>
          <w:rFonts w:ascii="宋体" w:hAnsi="宋体" w:eastAsia="宋体" w:cs="宋体"/>
          <w:sz w:val="24"/>
          <w:szCs w:val="24"/>
        </w:rPr>
        <w:t>下载查看竞价文件</w:t>
      </w:r>
      <w:r>
        <w:rPr>
          <w:rFonts w:hint="eastAsia" w:ascii="宋体" w:hAnsi="宋体" w:eastAsia="宋体" w:cs="宋体"/>
          <w:sz w:val="24"/>
          <w:szCs w:val="24"/>
        </w:rPr>
        <w:t>（报名截止时间</w:t>
      </w:r>
      <w:r>
        <w:rPr>
          <w:rFonts w:hint="eastAsia" w:ascii="宋体" w:hAnsi="宋体" w:eastAsia="宋体" w:cs="宋体"/>
          <w:b/>
          <w:bCs/>
          <w:color w:val="FF0000"/>
          <w:sz w:val="24"/>
          <w:szCs w:val="24"/>
          <w:u w:val="single"/>
        </w:rPr>
        <w:t>2023年</w:t>
      </w:r>
      <w:r>
        <w:rPr>
          <w:rFonts w:hint="eastAsia" w:ascii="宋体" w:hAnsi="宋体" w:eastAsia="宋体" w:cs="宋体"/>
          <w:b/>
          <w:bCs/>
          <w:color w:val="FF0000"/>
          <w:sz w:val="24"/>
          <w:szCs w:val="24"/>
          <w:u w:val="single"/>
          <w:lang w:val="en-US" w:eastAsia="zh-CN"/>
        </w:rPr>
        <w:t>12</w:t>
      </w:r>
      <w:r>
        <w:rPr>
          <w:rFonts w:hint="eastAsia" w:ascii="宋体" w:hAnsi="宋体" w:eastAsia="宋体" w:cs="宋体"/>
          <w:b/>
          <w:bCs/>
          <w:color w:val="FF0000"/>
          <w:sz w:val="24"/>
          <w:szCs w:val="24"/>
          <w:u w:val="single"/>
        </w:rPr>
        <w:t>月</w:t>
      </w:r>
      <w:r>
        <w:rPr>
          <w:rFonts w:hint="eastAsia" w:ascii="宋体" w:hAnsi="宋体" w:eastAsia="宋体" w:cs="宋体"/>
          <w:b/>
          <w:bCs/>
          <w:color w:val="FF0000"/>
          <w:sz w:val="24"/>
          <w:u w:val="single"/>
          <w:lang w:val="en-US" w:eastAsia="zh-CN"/>
        </w:rPr>
        <w:t>01</w:t>
      </w:r>
      <w:r>
        <w:rPr>
          <w:rFonts w:hint="eastAsia" w:ascii="宋体" w:hAnsi="宋体" w:eastAsia="宋体" w:cs="宋体"/>
          <w:b/>
          <w:bCs/>
          <w:color w:val="FF0000"/>
          <w:sz w:val="24"/>
          <w:szCs w:val="24"/>
          <w:u w:val="single"/>
        </w:rPr>
        <w:t>日</w:t>
      </w:r>
      <w:r>
        <w:rPr>
          <w:rFonts w:hint="eastAsia" w:ascii="宋体" w:hAnsi="宋体" w:eastAsia="宋体" w:cs="宋体"/>
          <w:b/>
          <w:bCs/>
          <w:color w:val="FF0000"/>
          <w:sz w:val="24"/>
          <w:u w:val="single"/>
        </w:rPr>
        <w:t>17:00</w:t>
      </w:r>
      <w:r>
        <w:rPr>
          <w:rFonts w:hint="eastAsia" w:ascii="宋体" w:hAnsi="宋体" w:eastAsia="宋体" w:cs="宋体"/>
          <w:sz w:val="24"/>
        </w:rPr>
        <w:t>（北京时间，法定节假日除外）</w:t>
      </w:r>
      <w:r>
        <w:rPr>
          <w:rFonts w:hint="eastAsia" w:ascii="宋体" w:hAnsi="宋体" w:eastAsia="宋体" w:cs="宋体"/>
          <w:sz w:val="24"/>
          <w:szCs w:val="24"/>
        </w:rPr>
        <w:t>。</w:t>
      </w:r>
    </w:p>
    <w:p>
      <w:pPr>
        <w:spacing w:line="348" w:lineRule="auto"/>
        <w:ind w:firstLine="480" w:firstLineChars="200"/>
        <w:rPr>
          <w:rFonts w:ascii="宋体" w:hAnsi="宋体" w:eastAsia="宋体" w:cs="宋体"/>
          <w:sz w:val="24"/>
          <w:szCs w:val="24"/>
        </w:rPr>
      </w:pPr>
      <w:r>
        <w:rPr>
          <w:rFonts w:ascii="宋体" w:hAnsi="宋体" w:eastAsia="宋体" w:cs="宋体"/>
          <w:sz w:val="24"/>
          <w:szCs w:val="24"/>
        </w:rPr>
        <w:t>（2）报价。请在</w:t>
      </w:r>
      <w:r>
        <w:rPr>
          <w:rFonts w:ascii="宋体" w:hAnsi="宋体" w:eastAsia="宋体" w:cs="宋体"/>
          <w:b/>
          <w:bCs/>
          <w:color w:val="FF0000"/>
          <w:sz w:val="24"/>
          <w:szCs w:val="24"/>
          <w:u w:val="single"/>
        </w:rPr>
        <w:t>20</w:t>
      </w:r>
      <w:r>
        <w:rPr>
          <w:rFonts w:hint="eastAsia" w:ascii="宋体" w:hAnsi="宋体" w:eastAsia="宋体" w:cs="宋体"/>
          <w:b/>
          <w:bCs/>
          <w:color w:val="FF0000"/>
          <w:sz w:val="24"/>
          <w:szCs w:val="24"/>
          <w:u w:val="single"/>
        </w:rPr>
        <w:t>23</w:t>
      </w:r>
      <w:r>
        <w:rPr>
          <w:rFonts w:ascii="宋体" w:hAnsi="宋体" w:eastAsia="宋体" w:cs="宋体"/>
          <w:b/>
          <w:bCs/>
          <w:color w:val="FF0000"/>
          <w:sz w:val="24"/>
          <w:szCs w:val="24"/>
          <w:u w:val="single"/>
        </w:rPr>
        <w:t>年</w:t>
      </w:r>
      <w:r>
        <w:rPr>
          <w:rFonts w:hint="eastAsia" w:ascii="宋体" w:hAnsi="宋体" w:eastAsia="宋体" w:cs="宋体"/>
          <w:b/>
          <w:bCs/>
          <w:color w:val="FF0000"/>
          <w:sz w:val="24"/>
          <w:szCs w:val="24"/>
          <w:u w:val="single"/>
          <w:lang w:val="en-US" w:eastAsia="zh-CN"/>
        </w:rPr>
        <w:t>12</w:t>
      </w:r>
      <w:r>
        <w:rPr>
          <w:rFonts w:hint="eastAsia" w:ascii="宋体" w:hAnsi="宋体" w:eastAsia="宋体" w:cs="宋体"/>
          <w:b/>
          <w:bCs/>
          <w:color w:val="FF0000"/>
          <w:sz w:val="24"/>
          <w:szCs w:val="24"/>
          <w:u w:val="single"/>
        </w:rPr>
        <w:t>月</w:t>
      </w:r>
      <w:r>
        <w:rPr>
          <w:rFonts w:hint="eastAsia" w:ascii="宋体" w:hAnsi="宋体" w:eastAsia="宋体" w:cs="宋体"/>
          <w:b/>
          <w:bCs/>
          <w:color w:val="FF0000"/>
          <w:sz w:val="24"/>
          <w:szCs w:val="24"/>
          <w:u w:val="single"/>
          <w:lang w:val="en-US" w:eastAsia="zh-CN"/>
        </w:rPr>
        <w:t>04</w:t>
      </w:r>
      <w:r>
        <w:rPr>
          <w:rFonts w:hint="eastAsia" w:ascii="宋体" w:hAnsi="宋体" w:eastAsia="宋体" w:cs="宋体"/>
          <w:b/>
          <w:bCs/>
          <w:color w:val="FF0000"/>
          <w:sz w:val="24"/>
          <w:szCs w:val="24"/>
          <w:u w:val="single"/>
        </w:rPr>
        <w:t>日</w:t>
      </w:r>
      <w:r>
        <w:rPr>
          <w:rFonts w:hint="eastAsia" w:ascii="宋体" w:hAnsi="宋体" w:eastAsia="宋体" w:cs="宋体"/>
          <w:b/>
          <w:bCs/>
          <w:color w:val="FF0000"/>
          <w:sz w:val="24"/>
          <w:u w:val="single"/>
          <w:lang w:val="en-US" w:eastAsia="zh-CN"/>
        </w:rPr>
        <w:t>14</w:t>
      </w:r>
      <w:r>
        <w:rPr>
          <w:rFonts w:hint="eastAsia" w:ascii="宋体" w:hAnsi="宋体" w:eastAsia="宋体" w:cs="宋体"/>
          <w:b/>
          <w:bCs/>
          <w:color w:val="FF0000"/>
          <w:sz w:val="24"/>
          <w:u w:val="single"/>
        </w:rPr>
        <w:t>:30</w:t>
      </w:r>
      <w:r>
        <w:rPr>
          <w:rFonts w:ascii="宋体" w:hAnsi="宋体" w:eastAsia="宋体" w:cs="宋体"/>
          <w:sz w:val="24"/>
          <w:szCs w:val="24"/>
        </w:rPr>
        <w:t>之前把应答文件上传到</w:t>
      </w:r>
      <w:r>
        <w:rPr>
          <w:rFonts w:hint="eastAsia" w:ascii="宋体" w:hAnsi="宋体" w:eastAsia="宋体" w:cs="宋体"/>
          <w:sz w:val="24"/>
          <w:szCs w:val="24"/>
        </w:rPr>
        <w:t>中吉国际项目管理有限公司广东分公司（输入链接网址http://www.zjzbgdfgs.com/）</w:t>
      </w:r>
      <w:r>
        <w:rPr>
          <w:rFonts w:ascii="宋体" w:hAnsi="宋体" w:eastAsia="宋体" w:cs="宋体"/>
          <w:sz w:val="24"/>
          <w:szCs w:val="24"/>
        </w:rPr>
        <w:t>。</w:t>
      </w:r>
    </w:p>
    <w:p>
      <w:pPr>
        <w:spacing w:beforeLines="50" w:line="348" w:lineRule="auto"/>
        <w:ind w:firstLine="480" w:firstLineChars="200"/>
        <w:rPr>
          <w:rFonts w:ascii="宋体" w:hAnsi="宋体" w:eastAsia="宋体" w:cs="宋体"/>
          <w:sz w:val="24"/>
          <w:szCs w:val="24"/>
        </w:rPr>
      </w:pPr>
      <w:r>
        <w:rPr>
          <w:rFonts w:ascii="宋体" w:hAnsi="宋体" w:eastAsia="宋体" w:cs="宋体"/>
          <w:sz w:val="24"/>
          <w:szCs w:val="24"/>
        </w:rPr>
        <w:t>（3）确定竞价结果。采购人按照成交原则，确定中标人。</w:t>
      </w:r>
    </w:p>
    <w:p>
      <w:pPr>
        <w:spacing w:line="348" w:lineRule="auto"/>
        <w:ind w:firstLine="480" w:firstLineChars="200"/>
        <w:rPr>
          <w:rFonts w:ascii="宋体" w:hAnsi="宋体" w:eastAsia="宋体" w:cs="宋体"/>
          <w:sz w:val="24"/>
          <w:szCs w:val="24"/>
        </w:rPr>
      </w:pPr>
      <w:r>
        <w:rPr>
          <w:rFonts w:ascii="宋体" w:hAnsi="宋体" w:eastAsia="宋体" w:cs="宋体"/>
          <w:sz w:val="24"/>
          <w:szCs w:val="24"/>
        </w:rPr>
        <w:t>（4）发布成交公告。在确定中标人后发布成交公告。</w:t>
      </w:r>
    </w:p>
    <w:p>
      <w:pPr>
        <w:spacing w:line="348" w:lineRule="auto"/>
        <w:ind w:firstLine="480" w:firstLineChars="200"/>
        <w:rPr>
          <w:rFonts w:ascii="宋体" w:hAnsi="宋体" w:eastAsia="宋体" w:cs="宋体"/>
          <w:sz w:val="24"/>
          <w:szCs w:val="24"/>
        </w:rPr>
      </w:pPr>
      <w:r>
        <w:rPr>
          <w:rFonts w:ascii="宋体" w:hAnsi="宋体" w:eastAsia="宋体" w:cs="宋体"/>
          <w:sz w:val="24"/>
          <w:szCs w:val="24"/>
        </w:rPr>
        <w:t>（5）领取中标(成交)通知书。成交公告公示期结束无异议后，采购人、中标供应商可领取中标(成交)通知书。</w:t>
      </w:r>
    </w:p>
    <w:p>
      <w:pPr>
        <w:widowControl/>
        <w:adjustRightInd w:val="0"/>
        <w:spacing w:line="348" w:lineRule="auto"/>
        <w:ind w:firstLine="482" w:firstLineChars="200"/>
        <w:jc w:val="left"/>
        <w:rPr>
          <w:rFonts w:ascii="宋体" w:hAnsi="宋体" w:eastAsia="宋体" w:cs="宋体"/>
          <w:b/>
          <w:kern w:val="0"/>
          <w:sz w:val="24"/>
          <w:szCs w:val="24"/>
        </w:rPr>
      </w:pPr>
      <w:r>
        <w:rPr>
          <w:rFonts w:hint="eastAsia" w:ascii="宋体" w:hAnsi="宋体" w:eastAsia="宋体" w:cs="宋体"/>
          <w:b/>
          <w:kern w:val="0"/>
          <w:sz w:val="24"/>
          <w:szCs w:val="24"/>
        </w:rPr>
        <w:t>2、时间安排：</w:t>
      </w:r>
    </w:p>
    <w:p>
      <w:pPr>
        <w:widowControl/>
        <w:adjustRightInd w:val="0"/>
        <w:spacing w:line="348" w:lineRule="auto"/>
        <w:ind w:firstLine="482" w:firstLineChars="200"/>
        <w:jc w:val="left"/>
        <w:rPr>
          <w:rFonts w:ascii="宋体" w:hAnsi="宋体" w:eastAsia="宋体" w:cs="宋体"/>
          <w:b/>
          <w:color w:val="FF0000"/>
          <w:kern w:val="0"/>
          <w:sz w:val="24"/>
          <w:szCs w:val="24"/>
        </w:rPr>
      </w:pPr>
      <w:r>
        <w:rPr>
          <w:rFonts w:hint="eastAsia" w:ascii="宋体" w:hAnsi="宋体" w:eastAsia="宋体" w:cs="宋体"/>
          <w:b/>
          <w:kern w:val="0"/>
          <w:sz w:val="24"/>
          <w:szCs w:val="24"/>
        </w:rPr>
        <w:t>（1）公告发布日期：</w:t>
      </w:r>
      <w:r>
        <w:rPr>
          <w:rFonts w:ascii="宋体" w:hAnsi="宋体" w:eastAsia="宋体" w:cs="宋体"/>
          <w:b/>
          <w:color w:val="FF0000"/>
          <w:sz w:val="24"/>
          <w:szCs w:val="24"/>
          <w:u w:val="single"/>
        </w:rPr>
        <w:t>20</w:t>
      </w:r>
      <w:r>
        <w:rPr>
          <w:rFonts w:hint="eastAsia" w:ascii="宋体" w:hAnsi="宋体" w:eastAsia="宋体" w:cs="宋体"/>
          <w:b/>
          <w:color w:val="FF0000"/>
          <w:sz w:val="24"/>
          <w:szCs w:val="24"/>
          <w:u w:val="single"/>
        </w:rPr>
        <w:t>23</w:t>
      </w:r>
      <w:r>
        <w:rPr>
          <w:rFonts w:ascii="宋体" w:hAnsi="宋体" w:eastAsia="宋体" w:cs="宋体"/>
          <w:b/>
          <w:color w:val="FF0000"/>
          <w:sz w:val="24"/>
          <w:szCs w:val="24"/>
          <w:u w:val="single"/>
        </w:rPr>
        <w:t>年</w:t>
      </w:r>
      <w:r>
        <w:rPr>
          <w:rFonts w:hint="eastAsia" w:ascii="宋体" w:hAnsi="宋体" w:eastAsia="宋体" w:cs="宋体"/>
          <w:b/>
          <w:color w:val="FF0000"/>
          <w:sz w:val="24"/>
          <w:szCs w:val="24"/>
          <w:u w:val="single"/>
          <w:lang w:val="en-US" w:eastAsia="zh-CN"/>
        </w:rPr>
        <w:t>11</w:t>
      </w:r>
      <w:r>
        <w:rPr>
          <w:rFonts w:hint="eastAsia" w:ascii="宋体" w:hAnsi="宋体" w:eastAsia="宋体" w:cs="宋体"/>
          <w:b/>
          <w:color w:val="FF0000"/>
          <w:sz w:val="24"/>
          <w:szCs w:val="24"/>
          <w:u w:val="single"/>
        </w:rPr>
        <w:t>月</w:t>
      </w:r>
      <w:r>
        <w:rPr>
          <w:rFonts w:hint="eastAsia" w:ascii="宋体" w:hAnsi="宋体" w:eastAsia="宋体" w:cs="宋体"/>
          <w:b/>
          <w:bCs/>
          <w:color w:val="FF0000"/>
          <w:sz w:val="24"/>
          <w:u w:val="single"/>
          <w:lang w:val="en-US" w:eastAsia="zh-CN"/>
        </w:rPr>
        <w:t>24</w:t>
      </w:r>
      <w:r>
        <w:rPr>
          <w:rFonts w:hint="eastAsia" w:ascii="宋体" w:hAnsi="宋体" w:eastAsia="宋体" w:cs="宋体"/>
          <w:b/>
          <w:color w:val="FF0000"/>
          <w:sz w:val="24"/>
          <w:szCs w:val="24"/>
          <w:u w:val="single"/>
        </w:rPr>
        <w:t>日</w:t>
      </w:r>
      <w:r>
        <w:rPr>
          <w:rFonts w:ascii="宋体" w:hAnsi="宋体" w:eastAsia="宋体" w:cs="宋体"/>
          <w:b/>
          <w:color w:val="FF0000"/>
          <w:kern w:val="0"/>
          <w:sz w:val="24"/>
          <w:szCs w:val="24"/>
        </w:rPr>
        <w:t>（北京时间）</w:t>
      </w:r>
    </w:p>
    <w:p>
      <w:pPr>
        <w:widowControl/>
        <w:adjustRightInd w:val="0"/>
        <w:spacing w:line="348" w:lineRule="auto"/>
        <w:ind w:firstLine="482" w:firstLineChars="200"/>
        <w:jc w:val="left"/>
        <w:rPr>
          <w:rFonts w:ascii="宋体" w:hAnsi="宋体" w:eastAsia="宋体" w:cs="宋体"/>
          <w:b/>
          <w:color w:val="FF0000"/>
          <w:sz w:val="24"/>
          <w:szCs w:val="24"/>
          <w:u w:val="single"/>
        </w:rPr>
      </w:pPr>
      <w:r>
        <w:rPr>
          <w:rFonts w:hint="eastAsia" w:ascii="宋体" w:hAnsi="宋体" w:eastAsia="宋体" w:cs="宋体"/>
          <w:b/>
          <w:kern w:val="0"/>
          <w:sz w:val="24"/>
          <w:szCs w:val="24"/>
        </w:rPr>
        <w:t>（2）公告期限：</w:t>
      </w:r>
      <w:r>
        <w:rPr>
          <w:rFonts w:ascii="宋体" w:hAnsi="宋体" w:eastAsia="宋体" w:cs="宋体"/>
          <w:b/>
          <w:color w:val="FF0000"/>
          <w:sz w:val="24"/>
          <w:szCs w:val="24"/>
          <w:u w:val="single"/>
        </w:rPr>
        <w:t>20</w:t>
      </w:r>
      <w:r>
        <w:rPr>
          <w:rFonts w:hint="eastAsia" w:ascii="宋体" w:hAnsi="宋体" w:eastAsia="宋体" w:cs="宋体"/>
          <w:b/>
          <w:color w:val="FF0000"/>
          <w:sz w:val="24"/>
          <w:szCs w:val="24"/>
          <w:u w:val="single"/>
        </w:rPr>
        <w:t>23</w:t>
      </w:r>
      <w:r>
        <w:rPr>
          <w:rFonts w:ascii="宋体" w:hAnsi="宋体" w:eastAsia="宋体" w:cs="宋体"/>
          <w:b/>
          <w:color w:val="FF0000"/>
          <w:sz w:val="24"/>
          <w:szCs w:val="24"/>
          <w:u w:val="single"/>
        </w:rPr>
        <w:t>年</w:t>
      </w:r>
      <w:r>
        <w:rPr>
          <w:rFonts w:hint="eastAsia" w:ascii="宋体" w:hAnsi="宋体" w:eastAsia="宋体" w:cs="宋体"/>
          <w:b/>
          <w:color w:val="FF0000"/>
          <w:sz w:val="24"/>
          <w:szCs w:val="24"/>
          <w:u w:val="single"/>
          <w:lang w:val="en-US" w:eastAsia="zh-CN"/>
        </w:rPr>
        <w:t>11</w:t>
      </w:r>
      <w:r>
        <w:rPr>
          <w:rFonts w:hint="eastAsia" w:ascii="宋体" w:hAnsi="宋体" w:eastAsia="宋体" w:cs="宋体"/>
          <w:b/>
          <w:color w:val="FF0000"/>
          <w:sz w:val="24"/>
          <w:szCs w:val="24"/>
          <w:u w:val="single"/>
        </w:rPr>
        <w:t>月</w:t>
      </w:r>
      <w:r>
        <w:rPr>
          <w:rFonts w:hint="eastAsia" w:ascii="宋体" w:hAnsi="宋体" w:eastAsia="宋体" w:cs="宋体"/>
          <w:b/>
          <w:bCs/>
          <w:color w:val="FF0000"/>
          <w:sz w:val="24"/>
          <w:u w:val="single"/>
          <w:lang w:val="en-US" w:eastAsia="zh-CN"/>
        </w:rPr>
        <w:t>24</w:t>
      </w:r>
      <w:r>
        <w:rPr>
          <w:rFonts w:hint="eastAsia" w:ascii="宋体" w:hAnsi="宋体" w:eastAsia="宋体" w:cs="宋体"/>
          <w:b/>
          <w:color w:val="FF0000"/>
          <w:sz w:val="24"/>
          <w:szCs w:val="24"/>
          <w:u w:val="single"/>
        </w:rPr>
        <w:t>日</w:t>
      </w:r>
      <w:r>
        <w:rPr>
          <w:rFonts w:hint="eastAsia" w:ascii="宋体" w:hAnsi="宋体" w:eastAsia="宋体" w:cs="宋体"/>
          <w:b/>
          <w:color w:val="FF0000"/>
          <w:kern w:val="0"/>
          <w:sz w:val="24"/>
          <w:szCs w:val="24"/>
          <w:u w:val="single"/>
        </w:rPr>
        <w:t>-</w:t>
      </w:r>
      <w:r>
        <w:rPr>
          <w:rFonts w:ascii="宋体" w:hAnsi="宋体" w:eastAsia="宋体" w:cs="宋体"/>
          <w:b/>
          <w:color w:val="FF0000"/>
          <w:sz w:val="24"/>
          <w:szCs w:val="24"/>
          <w:u w:val="single"/>
        </w:rPr>
        <w:t>20</w:t>
      </w:r>
      <w:r>
        <w:rPr>
          <w:rFonts w:hint="eastAsia" w:ascii="宋体" w:hAnsi="宋体" w:eastAsia="宋体" w:cs="宋体"/>
          <w:b/>
          <w:color w:val="FF0000"/>
          <w:sz w:val="24"/>
          <w:szCs w:val="24"/>
          <w:u w:val="single"/>
        </w:rPr>
        <w:t>23</w:t>
      </w:r>
      <w:r>
        <w:rPr>
          <w:rFonts w:ascii="宋体" w:hAnsi="宋体" w:eastAsia="宋体" w:cs="宋体"/>
          <w:b/>
          <w:color w:val="FF0000"/>
          <w:sz w:val="24"/>
          <w:szCs w:val="24"/>
          <w:u w:val="single"/>
        </w:rPr>
        <w:t>年</w:t>
      </w:r>
      <w:r>
        <w:rPr>
          <w:rFonts w:hint="eastAsia" w:ascii="宋体" w:hAnsi="宋体" w:eastAsia="宋体" w:cs="宋体"/>
          <w:b/>
          <w:color w:val="FF0000"/>
          <w:sz w:val="24"/>
          <w:szCs w:val="24"/>
          <w:u w:val="single"/>
          <w:lang w:val="en-US" w:eastAsia="zh-CN"/>
        </w:rPr>
        <w:t>12</w:t>
      </w:r>
      <w:r>
        <w:rPr>
          <w:rFonts w:hint="eastAsia" w:ascii="宋体" w:hAnsi="宋体" w:eastAsia="宋体" w:cs="宋体"/>
          <w:b/>
          <w:color w:val="FF0000"/>
          <w:sz w:val="24"/>
          <w:szCs w:val="24"/>
          <w:u w:val="single"/>
        </w:rPr>
        <w:t>月</w:t>
      </w:r>
      <w:r>
        <w:rPr>
          <w:rFonts w:hint="eastAsia" w:ascii="宋体" w:hAnsi="宋体" w:eastAsia="宋体" w:cs="宋体"/>
          <w:b/>
          <w:bCs/>
          <w:color w:val="FF0000"/>
          <w:sz w:val="24"/>
          <w:u w:val="single"/>
          <w:lang w:val="en-US" w:eastAsia="zh-CN"/>
        </w:rPr>
        <w:t>01</w:t>
      </w:r>
      <w:r>
        <w:rPr>
          <w:rFonts w:hint="eastAsia" w:ascii="宋体" w:hAnsi="宋体" w:eastAsia="宋体" w:cs="宋体"/>
          <w:b/>
          <w:color w:val="FF0000"/>
          <w:sz w:val="24"/>
          <w:szCs w:val="24"/>
          <w:u w:val="single"/>
        </w:rPr>
        <w:t>日</w:t>
      </w:r>
    </w:p>
    <w:p>
      <w:pPr>
        <w:widowControl/>
        <w:adjustRightInd w:val="0"/>
        <w:spacing w:line="348" w:lineRule="auto"/>
        <w:ind w:firstLine="482" w:firstLineChars="200"/>
        <w:jc w:val="left"/>
        <w:rPr>
          <w:rFonts w:ascii="宋体" w:hAnsi="宋体" w:eastAsia="宋体" w:cs="宋体"/>
          <w:kern w:val="0"/>
          <w:sz w:val="24"/>
          <w:szCs w:val="24"/>
        </w:rPr>
      </w:pPr>
      <w:r>
        <w:rPr>
          <w:rFonts w:hint="eastAsia" w:ascii="宋体" w:hAnsi="宋体" w:eastAsia="宋体" w:cs="宋体"/>
          <w:b/>
          <w:kern w:val="0"/>
          <w:sz w:val="24"/>
          <w:szCs w:val="24"/>
        </w:rPr>
        <w:t>（3）</w:t>
      </w:r>
      <w:r>
        <w:rPr>
          <w:rFonts w:ascii="宋体" w:hAnsi="宋体" w:eastAsia="宋体" w:cs="宋体"/>
          <w:b/>
          <w:kern w:val="0"/>
          <w:sz w:val="24"/>
          <w:szCs w:val="24"/>
        </w:rPr>
        <w:t>竞价截止时间：</w:t>
      </w:r>
      <w:r>
        <w:rPr>
          <w:rFonts w:ascii="宋体" w:hAnsi="宋体" w:eastAsia="宋体" w:cs="宋体"/>
          <w:b/>
          <w:color w:val="FF0000"/>
          <w:sz w:val="24"/>
          <w:szCs w:val="24"/>
          <w:u w:val="single"/>
        </w:rPr>
        <w:t>20</w:t>
      </w:r>
      <w:r>
        <w:rPr>
          <w:rFonts w:hint="eastAsia" w:ascii="宋体" w:hAnsi="宋体" w:eastAsia="宋体" w:cs="宋体"/>
          <w:b/>
          <w:color w:val="FF0000"/>
          <w:sz w:val="24"/>
          <w:szCs w:val="24"/>
          <w:u w:val="single"/>
        </w:rPr>
        <w:t>23</w:t>
      </w:r>
      <w:r>
        <w:rPr>
          <w:rFonts w:ascii="宋体" w:hAnsi="宋体" w:eastAsia="宋体" w:cs="宋体"/>
          <w:b/>
          <w:color w:val="FF0000"/>
          <w:sz w:val="24"/>
          <w:szCs w:val="24"/>
          <w:u w:val="single"/>
        </w:rPr>
        <w:t>年</w:t>
      </w:r>
      <w:r>
        <w:rPr>
          <w:rFonts w:hint="eastAsia" w:ascii="宋体" w:hAnsi="宋体" w:eastAsia="宋体" w:cs="宋体"/>
          <w:b/>
          <w:color w:val="FF0000"/>
          <w:sz w:val="24"/>
          <w:szCs w:val="24"/>
          <w:u w:val="single"/>
          <w:lang w:val="en-US" w:eastAsia="zh-CN"/>
        </w:rPr>
        <w:t>12</w:t>
      </w:r>
      <w:r>
        <w:rPr>
          <w:rFonts w:hint="eastAsia" w:ascii="宋体" w:hAnsi="宋体" w:eastAsia="宋体" w:cs="宋体"/>
          <w:b/>
          <w:color w:val="FF0000"/>
          <w:sz w:val="24"/>
          <w:szCs w:val="24"/>
          <w:u w:val="single"/>
        </w:rPr>
        <w:t>月</w:t>
      </w:r>
      <w:r>
        <w:rPr>
          <w:rFonts w:hint="eastAsia" w:ascii="宋体" w:hAnsi="宋体" w:eastAsia="宋体" w:cs="宋体"/>
          <w:b/>
          <w:bCs/>
          <w:color w:val="FF0000"/>
          <w:sz w:val="24"/>
          <w:u w:val="single"/>
          <w:lang w:val="en-US" w:eastAsia="zh-CN"/>
        </w:rPr>
        <w:t>04</w:t>
      </w:r>
      <w:r>
        <w:rPr>
          <w:rFonts w:hint="eastAsia" w:ascii="宋体" w:hAnsi="宋体" w:eastAsia="宋体" w:cs="宋体"/>
          <w:b/>
          <w:color w:val="FF0000"/>
          <w:sz w:val="24"/>
          <w:szCs w:val="24"/>
          <w:u w:val="single"/>
        </w:rPr>
        <w:t>日</w:t>
      </w:r>
      <w:r>
        <w:rPr>
          <w:rFonts w:hint="eastAsia" w:ascii="宋体" w:hAnsi="宋体" w:eastAsia="宋体" w:cs="宋体"/>
          <w:b/>
          <w:color w:val="FF0000"/>
          <w:sz w:val="24"/>
          <w:u w:val="single"/>
          <w:lang w:val="en-US" w:eastAsia="zh-CN"/>
        </w:rPr>
        <w:t>14</w:t>
      </w:r>
      <w:bookmarkStart w:id="121" w:name="_GoBack"/>
      <w:bookmarkEnd w:id="121"/>
      <w:r>
        <w:rPr>
          <w:rFonts w:hint="eastAsia" w:ascii="宋体" w:hAnsi="宋体" w:eastAsia="宋体" w:cs="宋体"/>
          <w:b/>
          <w:color w:val="FF0000"/>
          <w:sz w:val="24"/>
          <w:u w:val="single"/>
        </w:rPr>
        <w:t>:30</w:t>
      </w:r>
      <w:r>
        <w:rPr>
          <w:rFonts w:ascii="宋体" w:hAnsi="宋体" w:eastAsia="宋体" w:cs="宋体"/>
          <w:b/>
          <w:color w:val="FF0000"/>
          <w:kern w:val="0"/>
          <w:sz w:val="24"/>
          <w:szCs w:val="24"/>
        </w:rPr>
        <w:t>（北京时间）</w:t>
      </w:r>
    </w:p>
    <w:p>
      <w:pPr>
        <w:pStyle w:val="5"/>
        <w:tabs>
          <w:tab w:val="left" w:pos="1800"/>
        </w:tabs>
        <w:spacing w:before="120" w:after="120" w:line="360" w:lineRule="auto"/>
        <w:rPr>
          <w:rFonts w:cs="仿宋" w:asciiTheme="minorEastAsia" w:hAnsiTheme="minorEastAsia" w:eastAsiaTheme="minorEastAsia"/>
          <w:sz w:val="24"/>
          <w:szCs w:val="28"/>
        </w:rPr>
      </w:pPr>
      <w:bookmarkStart w:id="33" w:name="_Toc14278"/>
      <w:bookmarkStart w:id="34" w:name="_Toc16818"/>
      <w:bookmarkStart w:id="35" w:name="_Toc29657"/>
      <w:bookmarkStart w:id="36" w:name="_Toc68769464"/>
      <w:r>
        <w:rPr>
          <w:rFonts w:hint="eastAsia" w:cs="仿宋" w:asciiTheme="minorEastAsia" w:hAnsiTheme="minorEastAsia" w:eastAsiaTheme="minorEastAsia"/>
          <w:sz w:val="24"/>
          <w:szCs w:val="28"/>
        </w:rPr>
        <w:t>四、竞价文件主要内容</w:t>
      </w:r>
      <w:bookmarkEnd w:id="33"/>
      <w:bookmarkEnd w:id="34"/>
      <w:bookmarkEnd w:id="35"/>
      <w:bookmarkEnd w:id="36"/>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1、项目竞价文件由</w:t>
      </w:r>
      <w:r>
        <w:rPr>
          <w:rFonts w:hint="eastAsia" w:ascii="宋体" w:hAnsi="宋体" w:eastAsia="宋体" w:cs="宋体"/>
          <w:b/>
          <w:kern w:val="0"/>
          <w:sz w:val="24"/>
          <w:szCs w:val="24"/>
        </w:rPr>
        <w:t>竞价公告</w:t>
      </w:r>
      <w:r>
        <w:rPr>
          <w:rFonts w:hint="eastAsia" w:ascii="宋体" w:hAnsi="宋体" w:eastAsia="宋体" w:cs="宋体"/>
          <w:kern w:val="0"/>
          <w:sz w:val="24"/>
          <w:szCs w:val="24"/>
        </w:rPr>
        <w:t>、</w:t>
      </w:r>
      <w:r>
        <w:rPr>
          <w:rFonts w:hint="eastAsia" w:ascii="宋体" w:hAnsi="宋体" w:eastAsia="宋体" w:cs="宋体"/>
          <w:b/>
          <w:kern w:val="0"/>
          <w:sz w:val="24"/>
          <w:szCs w:val="24"/>
        </w:rPr>
        <w:t>竞价采购需求明细</w:t>
      </w:r>
      <w:r>
        <w:rPr>
          <w:rFonts w:hint="eastAsia" w:ascii="宋体" w:hAnsi="宋体" w:eastAsia="宋体" w:cs="宋体"/>
          <w:kern w:val="0"/>
          <w:sz w:val="24"/>
          <w:szCs w:val="24"/>
        </w:rPr>
        <w:t>和</w:t>
      </w:r>
      <w:r>
        <w:rPr>
          <w:rFonts w:hint="eastAsia" w:ascii="宋体" w:hAnsi="宋体" w:eastAsia="宋体" w:cs="宋体"/>
          <w:b/>
          <w:kern w:val="0"/>
          <w:sz w:val="24"/>
          <w:szCs w:val="24"/>
        </w:rPr>
        <w:t>竞价应答文件格式</w:t>
      </w:r>
      <w:r>
        <w:rPr>
          <w:rFonts w:hint="eastAsia" w:ascii="宋体" w:hAnsi="宋体" w:eastAsia="宋体" w:cs="宋体"/>
          <w:kern w:val="0"/>
          <w:sz w:val="24"/>
          <w:szCs w:val="24"/>
        </w:rPr>
        <w:t>三部分组成。</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2、竞价采购需求明细主要包含本项目的项目清单、服务要求、商务要求等。</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3、竞价公告和竞价采购需求明细出现不一致时，按以下优先顺序解释：</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本项目对供应商的资格及要求以竞价公告为准，当竞价公告与竞价采购需求明细不一致时，竞价公告优于竞价采购需求明细。</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4、供应商按竞价应答文件格式要求填写响应内容，</w:t>
      </w:r>
      <w:r>
        <w:rPr>
          <w:rFonts w:hint="eastAsia" w:ascii="宋体" w:hAnsi="宋体" w:eastAsia="宋体" w:cs="宋体"/>
          <w:b/>
          <w:color w:val="C00000"/>
          <w:kern w:val="0"/>
          <w:sz w:val="24"/>
          <w:szCs w:val="24"/>
        </w:rPr>
        <w:t>应答文件需要盖单位公章</w:t>
      </w:r>
      <w:r>
        <w:rPr>
          <w:rFonts w:hint="eastAsia" w:ascii="宋体" w:hAnsi="宋体" w:eastAsia="宋体" w:cs="宋体"/>
          <w:b/>
          <w:kern w:val="0"/>
          <w:sz w:val="24"/>
          <w:szCs w:val="24"/>
        </w:rPr>
        <w:t>。</w:t>
      </w:r>
    </w:p>
    <w:p>
      <w:pPr>
        <w:pStyle w:val="5"/>
        <w:tabs>
          <w:tab w:val="left" w:pos="1800"/>
        </w:tabs>
        <w:spacing w:before="120" w:after="120" w:line="360" w:lineRule="auto"/>
        <w:rPr>
          <w:rFonts w:cs="仿宋" w:asciiTheme="minorEastAsia" w:hAnsiTheme="minorEastAsia" w:eastAsiaTheme="minorEastAsia"/>
          <w:sz w:val="24"/>
          <w:szCs w:val="28"/>
        </w:rPr>
      </w:pPr>
      <w:bookmarkStart w:id="37" w:name="_Toc68769465"/>
      <w:bookmarkStart w:id="38" w:name="_Toc12841"/>
      <w:bookmarkStart w:id="39" w:name="_Toc32239"/>
      <w:bookmarkStart w:id="40" w:name="_Toc22647"/>
      <w:r>
        <w:rPr>
          <w:rFonts w:hint="eastAsia" w:cs="仿宋" w:asciiTheme="minorEastAsia" w:hAnsiTheme="minorEastAsia" w:eastAsiaTheme="minorEastAsia"/>
          <w:sz w:val="24"/>
          <w:szCs w:val="28"/>
        </w:rPr>
        <w:t>五、</w:t>
      </w:r>
      <w:r>
        <w:rPr>
          <w:rFonts w:cs="仿宋" w:asciiTheme="minorEastAsia" w:hAnsiTheme="minorEastAsia" w:eastAsiaTheme="minorEastAsia"/>
          <w:sz w:val="24"/>
          <w:szCs w:val="28"/>
        </w:rPr>
        <w:t>竞价</w:t>
      </w:r>
      <w:r>
        <w:rPr>
          <w:rFonts w:hint="eastAsia" w:cs="仿宋" w:asciiTheme="minorEastAsia" w:hAnsiTheme="minorEastAsia" w:eastAsiaTheme="minorEastAsia"/>
          <w:sz w:val="24"/>
          <w:szCs w:val="28"/>
        </w:rPr>
        <w:t>成交原则</w:t>
      </w:r>
      <w:bookmarkEnd w:id="37"/>
      <w:bookmarkEnd w:id="38"/>
      <w:bookmarkEnd w:id="39"/>
      <w:bookmarkEnd w:id="40"/>
    </w:p>
    <w:p>
      <w:pPr>
        <w:widowControl/>
        <w:adjustRightInd w:val="0"/>
        <w:spacing w:line="348" w:lineRule="auto"/>
        <w:ind w:firstLine="482" w:firstLineChars="200"/>
        <w:jc w:val="left"/>
        <w:rPr>
          <w:rFonts w:ascii="宋体" w:hAnsi="宋体" w:eastAsia="宋体" w:cs="宋体"/>
          <w:kern w:val="0"/>
          <w:sz w:val="24"/>
          <w:szCs w:val="24"/>
        </w:rPr>
      </w:pPr>
      <w:r>
        <w:rPr>
          <w:rFonts w:hint="eastAsia" w:ascii="宋体" w:hAnsi="宋体" w:eastAsia="宋体" w:cs="宋体"/>
          <w:b/>
          <w:kern w:val="0"/>
          <w:sz w:val="24"/>
          <w:szCs w:val="24"/>
        </w:rPr>
        <w:t>1、有效供应商及数量：</w:t>
      </w:r>
      <w:r>
        <w:rPr>
          <w:rFonts w:hint="eastAsia" w:ascii="宋体" w:hAnsi="宋体" w:eastAsia="宋体" w:cs="宋体"/>
          <w:kern w:val="0"/>
          <w:sz w:val="24"/>
          <w:szCs w:val="24"/>
        </w:rPr>
        <w:t>有效供应商是指参加本项目竞价，且对本项目进行实质性响应的供应商。有效供应商数量应</w:t>
      </w:r>
      <w:r>
        <w:rPr>
          <w:rFonts w:hint="eastAsia" w:ascii="宋体" w:hAnsi="宋体" w:eastAsia="宋体" w:cs="宋体"/>
          <w:b/>
          <w:kern w:val="0"/>
          <w:sz w:val="24"/>
          <w:szCs w:val="24"/>
        </w:rPr>
        <w:t>不少于三家</w:t>
      </w:r>
      <w:r>
        <w:rPr>
          <w:rFonts w:hint="eastAsia" w:ascii="宋体" w:hAnsi="宋体" w:eastAsia="宋体" w:cs="宋体"/>
          <w:kern w:val="0"/>
          <w:sz w:val="24"/>
          <w:szCs w:val="24"/>
        </w:rPr>
        <w:t>，否则项目公开竞价失败；经采购单位同意，可直接转为邀请竞标（至少一家有效投标人）方式采购或重新组织公开竞价。</w:t>
      </w:r>
    </w:p>
    <w:p>
      <w:pPr>
        <w:widowControl/>
        <w:adjustRightInd w:val="0"/>
        <w:spacing w:line="348" w:lineRule="auto"/>
        <w:ind w:firstLine="482" w:firstLineChars="200"/>
        <w:jc w:val="left"/>
        <w:rPr>
          <w:rFonts w:ascii="宋体" w:hAnsi="宋体" w:eastAsia="宋体" w:cs="宋体"/>
          <w:kern w:val="0"/>
          <w:sz w:val="24"/>
          <w:szCs w:val="24"/>
        </w:rPr>
      </w:pPr>
      <w:r>
        <w:rPr>
          <w:rFonts w:hint="eastAsia" w:ascii="宋体" w:hAnsi="宋体" w:eastAsia="宋体" w:cs="宋体"/>
          <w:b/>
          <w:kern w:val="0"/>
          <w:sz w:val="24"/>
          <w:szCs w:val="24"/>
        </w:rPr>
        <w:t>2、本项目成交方法采用最低价法</w:t>
      </w:r>
      <w:r>
        <w:rPr>
          <w:rFonts w:hint="eastAsia" w:ascii="宋体" w:hAnsi="宋体" w:eastAsia="宋体" w:cs="宋体"/>
          <w:kern w:val="0"/>
          <w:sz w:val="24"/>
          <w:szCs w:val="24"/>
        </w:rPr>
        <w:t>，完全满足竞价文件的实质性要求，按照报价由低到高的顺序，依据竞价文件中规定的数量或比例推荐候选中标供应商。</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3、采购人在参与竞价的有效供应商中，按照最低价法，确定最低报价的1家为中标供应商。如出现两家或以上的最低报价，由采购人自行确定1家为中标供应商。</w:t>
      </w:r>
    </w:p>
    <w:p>
      <w:pPr>
        <w:adjustRightInd w:val="0"/>
        <w:spacing w:line="348" w:lineRule="auto"/>
        <w:ind w:firstLine="480" w:firstLineChars="200"/>
        <w:rPr>
          <w:rFonts w:ascii="宋体" w:hAnsi="宋体" w:eastAsia="宋体" w:cs="宋体"/>
          <w:kern w:val="0"/>
          <w:sz w:val="24"/>
          <w:szCs w:val="24"/>
        </w:rPr>
      </w:pPr>
      <w:r>
        <w:rPr>
          <w:rFonts w:hint="eastAsia" w:ascii="宋体" w:hAnsi="宋体" w:eastAsia="宋体" w:cs="宋体"/>
          <w:kern w:val="0"/>
          <w:sz w:val="24"/>
          <w:szCs w:val="24"/>
        </w:rPr>
        <w:t>4、采购人认为供应商的报价明显低于其他通过符合性审查供应商的报价，有可能影响产品质量或者不能诚信履约的，应当要求其在合理的时间内提供书面说明，必要时提交相关证明材料；供应商不能证明其报价合理性的，采购人应当将其作为无效投标处理。</w:t>
      </w:r>
    </w:p>
    <w:p>
      <w:pPr>
        <w:pStyle w:val="2"/>
      </w:pPr>
    </w:p>
    <w:p>
      <w:pPr>
        <w:pStyle w:val="5"/>
        <w:tabs>
          <w:tab w:val="left" w:pos="1800"/>
        </w:tabs>
        <w:spacing w:before="120" w:after="120" w:line="360" w:lineRule="auto"/>
        <w:rPr>
          <w:rFonts w:cs="仿宋" w:asciiTheme="minorEastAsia" w:hAnsiTheme="minorEastAsia" w:eastAsiaTheme="minorEastAsia"/>
          <w:sz w:val="24"/>
          <w:szCs w:val="28"/>
        </w:rPr>
      </w:pPr>
      <w:bookmarkStart w:id="41" w:name="_Toc16789"/>
      <w:bookmarkStart w:id="42" w:name="_Toc19722"/>
      <w:bookmarkStart w:id="43" w:name="_Toc68769466"/>
      <w:bookmarkStart w:id="44" w:name="_Toc2920"/>
      <w:r>
        <w:rPr>
          <w:rFonts w:hint="eastAsia" w:cs="仿宋" w:asciiTheme="minorEastAsia" w:hAnsiTheme="minorEastAsia" w:eastAsiaTheme="minorEastAsia"/>
          <w:sz w:val="24"/>
          <w:szCs w:val="28"/>
        </w:rPr>
        <w:t>六、供应商实质性响应标准</w:t>
      </w:r>
      <w:bookmarkEnd w:id="41"/>
      <w:bookmarkEnd w:id="42"/>
      <w:bookmarkEnd w:id="43"/>
      <w:bookmarkEnd w:id="44"/>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供应商出现下列情形之一的，其应标将被判定为未实质性响应：</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1、报价总价超过项目中的预算金额，或者报价单价超过项目对应的单项预算。</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2、供应商响应的服务要求不符合本项目竞价采购需求明细中约定的服务要求。</w:t>
      </w:r>
    </w:p>
    <w:p>
      <w:pPr>
        <w:widowControl/>
        <w:adjustRightInd w:val="0"/>
        <w:spacing w:line="348" w:lineRule="auto"/>
        <w:ind w:firstLine="480" w:firstLineChars="200"/>
        <w:jc w:val="left"/>
      </w:pPr>
      <w:r>
        <w:rPr>
          <w:rFonts w:hint="eastAsia" w:ascii="宋体" w:hAnsi="宋体" w:eastAsia="宋体" w:cs="宋体"/>
          <w:kern w:val="0"/>
          <w:sz w:val="24"/>
          <w:szCs w:val="24"/>
        </w:rPr>
        <w:t>3、供应商响应的商务要求不符合本项目竞价采购需求明细中约定的商务要求。</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4、供应商应答文件中分项报价之和与竞价总价不一致时，其修正后的分项报价之和大于其报价总价的。</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5、供应商应答文件未按竞价应答文件格式规定内容、格式提交或填写不完整。</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6、有法律、法规规定的其他无效情形。</w:t>
      </w:r>
    </w:p>
    <w:p>
      <w:pPr>
        <w:pStyle w:val="5"/>
        <w:tabs>
          <w:tab w:val="left" w:pos="1800"/>
        </w:tabs>
        <w:spacing w:before="120" w:after="120" w:line="360" w:lineRule="auto"/>
        <w:rPr>
          <w:rFonts w:cs="仿宋" w:asciiTheme="minorEastAsia" w:hAnsiTheme="minorEastAsia" w:eastAsiaTheme="minorEastAsia"/>
          <w:sz w:val="24"/>
          <w:szCs w:val="28"/>
        </w:rPr>
      </w:pPr>
      <w:bookmarkStart w:id="45" w:name="_Toc24585"/>
      <w:bookmarkStart w:id="46" w:name="_Toc5527"/>
      <w:bookmarkStart w:id="47" w:name="_Toc68769467"/>
      <w:bookmarkStart w:id="48" w:name="_Toc25723"/>
      <w:r>
        <w:rPr>
          <w:rFonts w:hint="eastAsia" w:cs="仿宋" w:asciiTheme="minorEastAsia" w:hAnsiTheme="minorEastAsia" w:eastAsiaTheme="minorEastAsia"/>
          <w:sz w:val="24"/>
          <w:szCs w:val="28"/>
        </w:rPr>
        <w:t>七、竞价争议的解决</w:t>
      </w:r>
      <w:bookmarkEnd w:id="45"/>
      <w:bookmarkEnd w:id="46"/>
      <w:bookmarkEnd w:id="47"/>
      <w:bookmarkEnd w:id="48"/>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供应商竞价应答文件中分项报价之和与竞价总价不一致时，其修正后的分项报价之和小于其竞价总价的，竞价结果排序以竞价总价为准，若该供应商中标（成交），以修正后的分项报价之和为成交金额并签订合同。</w:t>
      </w:r>
    </w:p>
    <w:p>
      <w:pPr>
        <w:pStyle w:val="5"/>
        <w:tabs>
          <w:tab w:val="left" w:pos="1800"/>
        </w:tabs>
        <w:spacing w:before="120" w:after="120" w:line="360" w:lineRule="auto"/>
        <w:rPr>
          <w:rFonts w:cs="仿宋" w:asciiTheme="minorEastAsia" w:hAnsiTheme="minorEastAsia" w:eastAsiaTheme="minorEastAsia"/>
          <w:sz w:val="24"/>
          <w:szCs w:val="28"/>
        </w:rPr>
      </w:pPr>
      <w:bookmarkStart w:id="49" w:name="_Toc68769468"/>
      <w:bookmarkStart w:id="50" w:name="_Toc4337"/>
      <w:bookmarkStart w:id="51" w:name="_Toc10219"/>
      <w:bookmarkStart w:id="52" w:name="_Toc26969"/>
      <w:r>
        <w:rPr>
          <w:rFonts w:hint="eastAsia" w:cs="仿宋" w:asciiTheme="minorEastAsia" w:hAnsiTheme="minorEastAsia" w:eastAsiaTheme="minorEastAsia"/>
          <w:sz w:val="24"/>
          <w:szCs w:val="28"/>
        </w:rPr>
        <w:t>八、竞价有关情况处理</w:t>
      </w:r>
      <w:bookmarkEnd w:id="49"/>
      <w:bookmarkEnd w:id="50"/>
      <w:bookmarkEnd w:id="51"/>
      <w:bookmarkEnd w:id="52"/>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1、项目竞价失败：因有效投标供应商不足三家而致公开竞价失败的，经采购单位同意，重新实施采购或依据有效投标供应商数量，在评标现场即转为邀请竞标或直接采购。</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2、采购单位认为中标供应商不能满足要求或对中标结果存在质疑的，应当说明理由及依据。经市局、行政分局采购主管部门审核通过后，采购单位可顺延至排名第二名的投标供应商中标，并发布顺延中标公告。</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3、中标供应商放弃成交资格、或中标供应商投标资格被确定无效的，应当重新组织采购。因情况紧急，重新组织采购不能满足采购单位要求的，经市局、行政分局采购主管部门核实，采购单位可确定排名第二名的投标供应商为替补中标供应商，并委托社会招标代理机构将替补中标供应商情况予以公示，公示期不少于2个工作日。</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4、供应商竞价截止后撤销其竞价，中标（成交）后无正当理由未在规定期限内签订合同或者拒绝履行合同义务的，按相关规定处理，并将记入诚信档案处理。</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5、供应商应严格按照竞价文件（竞价公告、竞价采购需求明细和竞价应答文件格式）规定的要求诚信投标（应答），并对竞价行为和结果承担法律责任。</w:t>
      </w:r>
    </w:p>
    <w:p>
      <w:pPr>
        <w:pStyle w:val="15"/>
      </w:pPr>
    </w:p>
    <w:p>
      <w:pPr>
        <w:pStyle w:val="5"/>
        <w:tabs>
          <w:tab w:val="left" w:pos="1800"/>
        </w:tabs>
        <w:spacing w:before="120" w:after="120" w:line="360" w:lineRule="auto"/>
        <w:rPr>
          <w:rFonts w:cs="仿宋" w:asciiTheme="minorEastAsia" w:hAnsiTheme="minorEastAsia" w:eastAsiaTheme="minorEastAsia"/>
          <w:sz w:val="24"/>
          <w:szCs w:val="28"/>
        </w:rPr>
      </w:pPr>
      <w:bookmarkStart w:id="53" w:name="_Toc16930"/>
      <w:bookmarkStart w:id="54" w:name="_Toc17468"/>
      <w:bookmarkStart w:id="55" w:name="_Toc14623"/>
      <w:bookmarkStart w:id="56" w:name="_Toc68769469"/>
      <w:r>
        <w:rPr>
          <w:rFonts w:hint="eastAsia" w:cs="仿宋" w:asciiTheme="minorEastAsia" w:hAnsiTheme="minorEastAsia" w:eastAsiaTheme="minorEastAsia"/>
          <w:sz w:val="24"/>
          <w:szCs w:val="28"/>
        </w:rPr>
        <w:t>九、</w:t>
      </w:r>
      <w:r>
        <w:rPr>
          <w:rFonts w:cs="仿宋" w:asciiTheme="minorEastAsia" w:hAnsiTheme="minorEastAsia" w:eastAsiaTheme="minorEastAsia"/>
          <w:sz w:val="24"/>
          <w:szCs w:val="28"/>
        </w:rPr>
        <w:t>交纳投标保证金</w:t>
      </w:r>
      <w:bookmarkEnd w:id="53"/>
      <w:bookmarkEnd w:id="54"/>
      <w:bookmarkEnd w:id="55"/>
      <w:bookmarkEnd w:id="56"/>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本项目不需要缴纳投标保证金。</w:t>
      </w:r>
    </w:p>
    <w:p>
      <w:pPr>
        <w:pStyle w:val="5"/>
        <w:tabs>
          <w:tab w:val="left" w:pos="1800"/>
        </w:tabs>
        <w:spacing w:before="120" w:after="120" w:line="360" w:lineRule="auto"/>
        <w:rPr>
          <w:rFonts w:cs="仿宋" w:asciiTheme="minorEastAsia" w:hAnsiTheme="minorEastAsia" w:eastAsiaTheme="minorEastAsia"/>
          <w:sz w:val="24"/>
          <w:szCs w:val="28"/>
        </w:rPr>
      </w:pPr>
      <w:bookmarkStart w:id="57" w:name="_Toc68769470"/>
      <w:bookmarkStart w:id="58" w:name="_Toc910"/>
      <w:bookmarkStart w:id="59" w:name="_Toc26822"/>
      <w:bookmarkStart w:id="60" w:name="_Toc11990"/>
      <w:r>
        <w:rPr>
          <w:rFonts w:hint="eastAsia" w:cs="仿宋" w:asciiTheme="minorEastAsia" w:hAnsiTheme="minorEastAsia" w:eastAsiaTheme="minorEastAsia"/>
          <w:sz w:val="24"/>
          <w:szCs w:val="28"/>
        </w:rPr>
        <w:t>十、重要提示</w:t>
      </w:r>
      <w:bookmarkEnd w:id="57"/>
      <w:bookmarkEnd w:id="58"/>
      <w:bookmarkEnd w:id="59"/>
      <w:bookmarkEnd w:id="60"/>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1、本项目竞价文件所涉及的时间一律为北京时间，投标币种均为人民币。供应商有义务在竞价活动期间浏览深圳公共资源交易网（http://www.szggzy.com）、</w:t>
      </w:r>
      <w:r>
        <w:rPr>
          <w:rFonts w:hint="eastAsia" w:ascii="宋体" w:hAnsi="宋体" w:eastAsia="宋体"/>
          <w:sz w:val="24"/>
          <w:szCs w:val="24"/>
        </w:rPr>
        <w:t>中吉国际项目管理有限公司广东分公司（http://www.zjzbgdfgs.com/）</w:t>
      </w:r>
      <w:r>
        <w:rPr>
          <w:rFonts w:hint="eastAsia" w:ascii="宋体" w:hAnsi="宋体" w:eastAsia="宋体" w:cs="宋体"/>
          <w:kern w:val="0"/>
          <w:sz w:val="24"/>
          <w:szCs w:val="24"/>
        </w:rPr>
        <w:t>，在</w:t>
      </w:r>
      <w:r>
        <w:rPr>
          <w:rFonts w:hint="eastAsia" w:ascii="宋体" w:hAnsi="宋体" w:eastAsia="宋体"/>
          <w:sz w:val="24"/>
          <w:szCs w:val="24"/>
        </w:rPr>
        <w:t>上述平台</w:t>
      </w:r>
      <w:r>
        <w:rPr>
          <w:rFonts w:hint="eastAsia" w:ascii="宋体" w:hAnsi="宋体" w:eastAsia="宋体" w:cs="宋体"/>
          <w:kern w:val="0"/>
          <w:sz w:val="24"/>
          <w:szCs w:val="24"/>
        </w:rPr>
        <w:t>公布的与本次竞价项目有关的信息视为已送达各供应商。</w:t>
      </w:r>
    </w:p>
    <w:p>
      <w:pPr>
        <w:pStyle w:val="5"/>
        <w:tabs>
          <w:tab w:val="left" w:pos="1800"/>
        </w:tabs>
        <w:spacing w:before="120" w:after="120" w:line="360" w:lineRule="auto"/>
        <w:rPr>
          <w:rFonts w:cs="仿宋" w:asciiTheme="minorEastAsia" w:hAnsiTheme="minorEastAsia" w:eastAsiaTheme="minorEastAsia"/>
          <w:sz w:val="24"/>
          <w:szCs w:val="28"/>
        </w:rPr>
      </w:pPr>
      <w:bookmarkStart w:id="61" w:name="_Toc29800"/>
      <w:bookmarkStart w:id="62" w:name="_Toc24070"/>
      <w:bookmarkStart w:id="63" w:name="_Toc7734"/>
      <w:bookmarkStart w:id="64" w:name="_Toc68769471"/>
      <w:r>
        <w:rPr>
          <w:rFonts w:hint="eastAsia" w:cs="仿宋" w:asciiTheme="minorEastAsia" w:hAnsiTheme="minorEastAsia" w:eastAsiaTheme="minorEastAsia"/>
          <w:sz w:val="24"/>
          <w:szCs w:val="28"/>
        </w:rPr>
        <w:t>十一、联系方式</w:t>
      </w:r>
      <w:bookmarkEnd w:id="61"/>
      <w:bookmarkEnd w:id="62"/>
      <w:bookmarkEnd w:id="63"/>
      <w:bookmarkEnd w:id="64"/>
    </w:p>
    <w:p>
      <w:pPr>
        <w:widowControl/>
        <w:adjustRightInd w:val="0"/>
        <w:spacing w:line="348" w:lineRule="auto"/>
        <w:ind w:firstLine="482" w:firstLineChars="200"/>
        <w:jc w:val="left"/>
        <w:rPr>
          <w:rFonts w:ascii="宋体" w:hAnsi="宋体" w:eastAsia="宋体" w:cs="宋体"/>
          <w:b/>
          <w:kern w:val="0"/>
          <w:sz w:val="24"/>
          <w:szCs w:val="24"/>
        </w:rPr>
      </w:pPr>
      <w:r>
        <w:rPr>
          <w:rFonts w:hint="eastAsia" w:ascii="宋体" w:hAnsi="宋体" w:eastAsia="宋体" w:cs="宋体"/>
          <w:b/>
          <w:kern w:val="0"/>
          <w:sz w:val="24"/>
          <w:szCs w:val="24"/>
        </w:rPr>
        <w:t>1.采购人信息</w:t>
      </w:r>
    </w:p>
    <w:p>
      <w:pPr>
        <w:widowControl/>
        <w:adjustRightInd w:val="0"/>
        <w:spacing w:line="348" w:lineRule="auto"/>
        <w:ind w:firstLine="480" w:firstLineChars="200"/>
        <w:jc w:val="left"/>
        <w:rPr>
          <w:rFonts w:hint="eastAsia" w:ascii="宋体" w:hAnsi="宋体" w:eastAsia="宋体" w:cs="宋体"/>
          <w:kern w:val="0"/>
          <w:sz w:val="24"/>
          <w:szCs w:val="24"/>
          <w:lang w:eastAsia="zh-CN"/>
        </w:rPr>
      </w:pPr>
      <w:r>
        <w:rPr>
          <w:rFonts w:hint="eastAsia" w:ascii="宋体" w:hAnsi="宋体" w:eastAsia="宋体" w:cs="宋体"/>
          <w:kern w:val="0"/>
          <w:sz w:val="24"/>
          <w:szCs w:val="24"/>
        </w:rPr>
        <w:t>名　称：</w:t>
      </w:r>
      <w:r>
        <w:rPr>
          <w:rFonts w:hint="eastAsia" w:ascii="宋体" w:hAnsi="宋体" w:eastAsia="宋体" w:cs="宋体"/>
          <w:kern w:val="0"/>
          <w:sz w:val="24"/>
          <w:szCs w:val="24"/>
          <w:lang w:eastAsia="zh-CN"/>
        </w:rPr>
        <w:t>深圳市公安局刑事警察支队</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地　址：深圳市南山区招商街道东滨路3115号</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联系人：蹇警官</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联系方式：13923449811</w:t>
      </w:r>
    </w:p>
    <w:p>
      <w:pPr>
        <w:widowControl/>
        <w:adjustRightInd w:val="0"/>
        <w:spacing w:line="348" w:lineRule="auto"/>
        <w:ind w:firstLine="482" w:firstLineChars="200"/>
        <w:jc w:val="left"/>
        <w:rPr>
          <w:rFonts w:ascii="宋体" w:hAnsi="宋体" w:eastAsia="宋体" w:cs="宋体"/>
          <w:b/>
          <w:kern w:val="0"/>
          <w:sz w:val="24"/>
          <w:szCs w:val="24"/>
        </w:rPr>
      </w:pPr>
      <w:r>
        <w:rPr>
          <w:rFonts w:hint="eastAsia" w:ascii="宋体" w:hAnsi="宋体" w:eastAsia="宋体" w:cs="宋体"/>
          <w:b/>
          <w:kern w:val="0"/>
          <w:sz w:val="24"/>
          <w:szCs w:val="24"/>
        </w:rPr>
        <w:t>2.采购代理机构信息</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名　称：中吉国际项目管理有限公司</w:t>
      </w:r>
    </w:p>
    <w:p>
      <w:pPr>
        <w:widowControl/>
        <w:tabs>
          <w:tab w:val="left" w:pos="7299"/>
        </w:tabs>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地　址：深圳市福田区车公庙中国有色大厦1402</w:t>
      </w:r>
      <w:r>
        <w:rPr>
          <w:rFonts w:hint="eastAsia" w:ascii="宋体" w:hAnsi="宋体" w:eastAsia="宋体" w:cs="宋体"/>
          <w:kern w:val="0"/>
          <w:sz w:val="24"/>
          <w:szCs w:val="24"/>
        </w:rPr>
        <w:tab/>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联系方式：0755-82720234</w:t>
      </w:r>
    </w:p>
    <w:p>
      <w:pPr>
        <w:widowControl/>
        <w:adjustRightInd w:val="0"/>
        <w:spacing w:line="348" w:lineRule="auto"/>
        <w:ind w:firstLine="482" w:firstLineChars="200"/>
        <w:jc w:val="left"/>
        <w:rPr>
          <w:rFonts w:ascii="宋体" w:hAnsi="宋体" w:eastAsia="宋体" w:cs="宋体"/>
          <w:b/>
          <w:kern w:val="0"/>
          <w:sz w:val="24"/>
          <w:szCs w:val="24"/>
        </w:rPr>
      </w:pPr>
      <w:r>
        <w:rPr>
          <w:rFonts w:hint="eastAsia" w:ascii="宋体" w:hAnsi="宋体" w:eastAsia="宋体" w:cs="宋体"/>
          <w:b/>
          <w:kern w:val="0"/>
          <w:sz w:val="24"/>
          <w:szCs w:val="24"/>
        </w:rPr>
        <w:t>3.项目联系方式</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项目联系人：</w:t>
      </w:r>
      <w:bookmarkEnd w:id="32"/>
      <w:r>
        <w:rPr>
          <w:rFonts w:hint="eastAsia" w:ascii="宋体" w:hAnsi="宋体" w:eastAsia="宋体" w:cs="宋体"/>
          <w:kern w:val="0"/>
          <w:sz w:val="24"/>
          <w:szCs w:val="24"/>
        </w:rPr>
        <w:t>马工、丁工</w:t>
      </w:r>
    </w:p>
    <w:p>
      <w:pPr>
        <w:widowControl/>
        <w:adjustRightInd w:val="0"/>
        <w:spacing w:line="348"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电　话：18211550079、13554961292</w:t>
      </w:r>
    </w:p>
    <w:p>
      <w:pPr>
        <w:pStyle w:val="2"/>
      </w:pPr>
    </w:p>
    <w:p>
      <w:pPr>
        <w:widowControl/>
        <w:adjustRightInd w:val="0"/>
        <w:spacing w:line="348" w:lineRule="auto"/>
        <w:ind w:firstLine="4394" w:firstLineChars="1831"/>
        <w:jc w:val="center"/>
        <w:rPr>
          <w:rFonts w:ascii="宋体" w:hAnsi="宋体" w:eastAsia="宋体" w:cs="宋体"/>
          <w:kern w:val="0"/>
          <w:sz w:val="24"/>
          <w:szCs w:val="24"/>
        </w:rPr>
      </w:pPr>
      <w:r>
        <w:rPr>
          <w:rFonts w:hint="eastAsia" w:ascii="宋体" w:hAnsi="宋体" w:eastAsia="宋体" w:cs="宋体"/>
          <w:kern w:val="0"/>
          <w:sz w:val="24"/>
          <w:szCs w:val="24"/>
        </w:rPr>
        <w:t>中吉国际项目管理有限公司</w:t>
      </w:r>
    </w:p>
    <w:p>
      <w:pPr>
        <w:widowControl/>
        <w:adjustRightInd w:val="0"/>
        <w:spacing w:line="348" w:lineRule="auto"/>
        <w:ind w:firstLine="4394" w:firstLineChars="1831"/>
        <w:jc w:val="center"/>
        <w:rPr>
          <w:rFonts w:ascii="宋体" w:hAnsi="宋体" w:eastAsia="宋体" w:cs="宋体"/>
          <w:kern w:val="0"/>
          <w:sz w:val="24"/>
          <w:szCs w:val="24"/>
        </w:rPr>
      </w:pPr>
      <w:r>
        <w:rPr>
          <w:rFonts w:hint="eastAsia" w:ascii="宋体" w:hAnsi="宋体" w:eastAsia="宋体" w:cs="宋体"/>
          <w:kern w:val="0"/>
          <w:sz w:val="24"/>
          <w:szCs w:val="24"/>
        </w:rPr>
        <w:t>2023年</w:t>
      </w:r>
      <w:r>
        <w:rPr>
          <w:rFonts w:hint="eastAsia" w:ascii="宋体" w:hAnsi="宋体" w:eastAsia="宋体" w:cs="宋体"/>
          <w:kern w:val="0"/>
          <w:sz w:val="24"/>
          <w:szCs w:val="24"/>
          <w:lang w:val="en-US" w:eastAsia="zh-CN"/>
        </w:rPr>
        <w:t>11</w:t>
      </w:r>
      <w:r>
        <w:rPr>
          <w:rFonts w:hint="eastAsia" w:ascii="宋体" w:hAnsi="宋体" w:eastAsia="宋体" w:cs="宋体"/>
          <w:kern w:val="0"/>
          <w:sz w:val="24"/>
          <w:szCs w:val="24"/>
        </w:rPr>
        <w:t>月</w:t>
      </w:r>
      <w:r>
        <w:rPr>
          <w:rFonts w:hint="eastAsia" w:ascii="宋体" w:hAnsi="宋体" w:eastAsia="宋体" w:cs="宋体"/>
          <w:kern w:val="0"/>
          <w:sz w:val="24"/>
          <w:szCs w:val="24"/>
          <w:lang w:val="en-US" w:eastAsia="zh-CN"/>
        </w:rPr>
        <w:t>24</w:t>
      </w:r>
      <w:r>
        <w:rPr>
          <w:rFonts w:hint="eastAsia" w:ascii="宋体" w:hAnsi="宋体" w:eastAsia="宋体" w:cs="宋体"/>
          <w:kern w:val="0"/>
          <w:sz w:val="24"/>
          <w:szCs w:val="24"/>
        </w:rPr>
        <w:t>日</w:t>
      </w:r>
    </w:p>
    <w:p>
      <w:pPr>
        <w:pStyle w:val="4"/>
        <w:rPr>
          <w:rFonts w:ascii="宋体" w:hAnsi="宋体"/>
          <w:sz w:val="44"/>
          <w:szCs w:val="32"/>
        </w:rPr>
      </w:pPr>
      <w:r>
        <w:rPr>
          <w:rFonts w:ascii="宋体" w:hAnsi="宋体"/>
          <w:sz w:val="32"/>
          <w:szCs w:val="32"/>
        </w:rPr>
        <w:br w:type="page"/>
      </w:r>
      <w:bookmarkStart w:id="65" w:name="_Toc67411737"/>
      <w:bookmarkStart w:id="66" w:name="_Toc2116"/>
      <w:bookmarkStart w:id="67" w:name="_Toc17432"/>
      <w:bookmarkStart w:id="68" w:name="_Toc8488"/>
      <w:bookmarkStart w:id="69" w:name="_Toc68769472"/>
      <w:r>
        <w:rPr>
          <w:rFonts w:hint="eastAsia" w:ascii="宋体" w:hAnsi="宋体"/>
          <w:sz w:val="44"/>
          <w:szCs w:val="32"/>
        </w:rPr>
        <w:t xml:space="preserve">第二章  </w:t>
      </w:r>
      <w:bookmarkEnd w:id="16"/>
      <w:bookmarkEnd w:id="17"/>
      <w:bookmarkEnd w:id="65"/>
      <w:r>
        <w:rPr>
          <w:rFonts w:hint="eastAsia" w:ascii="宋体" w:hAnsi="宋体"/>
          <w:sz w:val="44"/>
          <w:szCs w:val="32"/>
        </w:rPr>
        <w:t>竞价采购需求明细</w:t>
      </w:r>
      <w:bookmarkEnd w:id="66"/>
      <w:bookmarkEnd w:id="67"/>
      <w:bookmarkEnd w:id="68"/>
      <w:bookmarkEnd w:id="69"/>
    </w:p>
    <w:p>
      <w:pPr>
        <w:pStyle w:val="5"/>
        <w:spacing w:beforeLines="100" w:after="0"/>
        <w:rPr>
          <w:rFonts w:hAnsi="宋体"/>
        </w:rPr>
      </w:pPr>
      <w:bookmarkStart w:id="70" w:name="_Toc12751"/>
      <w:bookmarkStart w:id="71" w:name="_Toc67411749"/>
      <w:bookmarkStart w:id="72" w:name="_Toc18451"/>
      <w:bookmarkStart w:id="73" w:name="_Toc68769473"/>
      <w:bookmarkStart w:id="74" w:name="_Toc8350"/>
      <w:bookmarkStart w:id="75" w:name="_Toc25880"/>
      <w:bookmarkStart w:id="76" w:name="_Toc394673886"/>
      <w:bookmarkStart w:id="77" w:name="_Toc30573109"/>
      <w:bookmarkStart w:id="78" w:name="_Toc475606995"/>
      <w:r>
        <w:rPr>
          <w:rFonts w:hint="eastAsia" w:hAnsi="宋体"/>
        </w:rPr>
        <w:t>一、项目清单</w:t>
      </w:r>
      <w:bookmarkEnd w:id="70"/>
      <w:bookmarkEnd w:id="71"/>
      <w:bookmarkEnd w:id="72"/>
      <w:bookmarkEnd w:id="73"/>
      <w:bookmarkEnd w:id="74"/>
    </w:p>
    <w:tbl>
      <w:tblPr>
        <w:tblStyle w:val="24"/>
        <w:tblW w:w="4998"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022"/>
        <w:gridCol w:w="2169"/>
        <w:gridCol w:w="1228"/>
        <w:gridCol w:w="1210"/>
        <w:gridCol w:w="1787"/>
        <w:gridCol w:w="91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jc w:val="center"/>
        </w:trPr>
        <w:tc>
          <w:tcPr>
            <w:tcW w:w="613" w:type="pct"/>
            <w:shd w:val="clear" w:color="auto" w:fill="DCE6F2"/>
            <w:vAlign w:val="center"/>
          </w:tcPr>
          <w:p>
            <w:pPr>
              <w:widowControl/>
              <w:adjustRightInd w:val="0"/>
              <w:spacing w:line="276" w:lineRule="auto"/>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shd w:val="clear" w:color="auto" w:fill="DCE6F2"/>
              </w:rPr>
              <w:t>序号</w:t>
            </w:r>
          </w:p>
        </w:tc>
        <w:tc>
          <w:tcPr>
            <w:tcW w:w="1301" w:type="pct"/>
            <w:shd w:val="clear" w:color="auto" w:fill="DCE6F2"/>
            <w:vAlign w:val="center"/>
          </w:tcPr>
          <w:p>
            <w:pPr>
              <w:widowControl/>
              <w:adjustRightInd w:val="0"/>
              <w:spacing w:line="276" w:lineRule="auto"/>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项目名称</w:t>
            </w:r>
          </w:p>
        </w:tc>
        <w:tc>
          <w:tcPr>
            <w:tcW w:w="737" w:type="pct"/>
            <w:shd w:val="clear" w:color="auto" w:fill="DCE6F2"/>
            <w:vAlign w:val="center"/>
          </w:tcPr>
          <w:p>
            <w:pPr>
              <w:widowControl/>
              <w:adjustRightInd w:val="0"/>
              <w:spacing w:line="276" w:lineRule="auto"/>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数量</w:t>
            </w:r>
          </w:p>
        </w:tc>
        <w:tc>
          <w:tcPr>
            <w:tcW w:w="726" w:type="pct"/>
            <w:shd w:val="clear" w:color="auto" w:fill="DCE6F2"/>
            <w:vAlign w:val="center"/>
          </w:tcPr>
          <w:p>
            <w:pPr>
              <w:widowControl/>
              <w:adjustRightInd w:val="0"/>
              <w:spacing w:line="276" w:lineRule="auto"/>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单位</w:t>
            </w:r>
          </w:p>
        </w:tc>
        <w:tc>
          <w:tcPr>
            <w:tcW w:w="1072" w:type="pct"/>
            <w:shd w:val="clear" w:color="auto" w:fill="DCE6F2"/>
            <w:vAlign w:val="center"/>
          </w:tcPr>
          <w:p>
            <w:pPr>
              <w:widowControl/>
              <w:adjustRightInd w:val="0"/>
              <w:spacing w:line="276" w:lineRule="auto"/>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预算金额（元）</w:t>
            </w:r>
          </w:p>
        </w:tc>
        <w:tc>
          <w:tcPr>
            <w:tcW w:w="548" w:type="pct"/>
            <w:shd w:val="clear" w:color="auto" w:fill="DCE6F2"/>
            <w:vAlign w:val="center"/>
          </w:tcPr>
          <w:p>
            <w:pPr>
              <w:widowControl/>
              <w:adjustRightInd w:val="0"/>
              <w:spacing w:line="276" w:lineRule="auto"/>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86" w:hRule="atLeast"/>
          <w:jc w:val="center"/>
        </w:trPr>
        <w:tc>
          <w:tcPr>
            <w:tcW w:w="613" w:type="pct"/>
            <w:shd w:val="clear" w:color="auto" w:fill="auto"/>
            <w:vAlign w:val="center"/>
          </w:tcPr>
          <w:p>
            <w:pPr>
              <w:widowControl/>
              <w:spacing w:line="360" w:lineRule="auto"/>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1</w:t>
            </w:r>
          </w:p>
        </w:tc>
        <w:tc>
          <w:tcPr>
            <w:tcW w:w="1301" w:type="pct"/>
            <w:shd w:val="clear" w:color="auto" w:fill="auto"/>
            <w:vAlign w:val="center"/>
          </w:tcPr>
          <w:p>
            <w:pPr>
              <w:widowControl/>
              <w:spacing w:line="360" w:lineRule="auto"/>
              <w:jc w:val="center"/>
              <w:textAlignment w:val="bottom"/>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lang w:val="zh-CN"/>
              </w:rPr>
              <w:t>2024年化验科部分检验设备维保项目</w:t>
            </w:r>
          </w:p>
        </w:tc>
        <w:tc>
          <w:tcPr>
            <w:tcW w:w="737" w:type="pct"/>
            <w:vAlign w:val="center"/>
          </w:tcPr>
          <w:p>
            <w:pPr>
              <w:spacing w:line="360" w:lineRule="auto"/>
              <w:jc w:val="center"/>
              <w:rPr>
                <w:rFonts w:cs="Arial" w:asciiTheme="minorEastAsia" w:hAnsiTheme="minorEastAsia" w:eastAsiaTheme="minorEastAsia"/>
                <w:sz w:val="24"/>
                <w:szCs w:val="24"/>
              </w:rPr>
            </w:pPr>
            <w:r>
              <w:rPr>
                <w:rFonts w:hint="eastAsia" w:cs="Arial" w:asciiTheme="minorEastAsia" w:hAnsiTheme="minorEastAsia" w:eastAsiaTheme="minorEastAsia"/>
                <w:sz w:val="24"/>
                <w:szCs w:val="24"/>
              </w:rPr>
              <w:t>1</w:t>
            </w:r>
          </w:p>
        </w:tc>
        <w:tc>
          <w:tcPr>
            <w:tcW w:w="726" w:type="pct"/>
            <w:vAlign w:val="center"/>
          </w:tcPr>
          <w:p>
            <w:pPr>
              <w:spacing w:line="360" w:lineRule="auto"/>
              <w:jc w:val="center"/>
              <w:rPr>
                <w:rFonts w:cs="Arial" w:asciiTheme="minorEastAsia" w:hAnsiTheme="minorEastAsia" w:eastAsiaTheme="minorEastAsia"/>
                <w:sz w:val="24"/>
                <w:szCs w:val="24"/>
              </w:rPr>
            </w:pPr>
            <w:r>
              <w:rPr>
                <w:rFonts w:hint="eastAsia" w:cs="Arial" w:asciiTheme="minorEastAsia" w:hAnsiTheme="minorEastAsia" w:eastAsiaTheme="minorEastAsia"/>
                <w:sz w:val="24"/>
                <w:szCs w:val="24"/>
              </w:rPr>
              <w:t>项</w:t>
            </w:r>
          </w:p>
        </w:tc>
        <w:tc>
          <w:tcPr>
            <w:tcW w:w="1072" w:type="pct"/>
            <w:vAlign w:val="center"/>
          </w:tcPr>
          <w:p>
            <w:pPr>
              <w:spacing w:line="360" w:lineRule="auto"/>
              <w:jc w:val="center"/>
              <w:rPr>
                <w:rFonts w:cs="宋体" w:asciiTheme="minorEastAsia" w:hAnsiTheme="minorEastAsia" w:eastAsiaTheme="minorEastAsia"/>
                <w:kern w:val="0"/>
                <w:sz w:val="24"/>
                <w:szCs w:val="24"/>
              </w:rPr>
            </w:pPr>
            <w:r>
              <w:rPr>
                <w:rFonts w:hint="eastAsia" w:asciiTheme="minorEastAsia" w:hAnsiTheme="minorEastAsia" w:eastAsiaTheme="minorEastAsia"/>
                <w:sz w:val="24"/>
                <w:szCs w:val="24"/>
              </w:rPr>
              <w:t>600,000.00</w:t>
            </w:r>
          </w:p>
        </w:tc>
        <w:tc>
          <w:tcPr>
            <w:tcW w:w="548" w:type="pct"/>
          </w:tcPr>
          <w:p>
            <w:pPr>
              <w:spacing w:line="360" w:lineRule="auto"/>
              <w:jc w:val="center"/>
              <w:rPr>
                <w:rFonts w:asciiTheme="minorEastAsia" w:hAnsiTheme="minorEastAsia" w:eastAsiaTheme="minorEastAsia"/>
                <w:sz w:val="24"/>
                <w:szCs w:val="24"/>
              </w:rPr>
            </w:pPr>
          </w:p>
        </w:tc>
      </w:tr>
    </w:tbl>
    <w:p>
      <w:pPr>
        <w:pStyle w:val="5"/>
        <w:spacing w:beforeLines="100" w:after="0"/>
        <w:rPr>
          <w:rFonts w:hAnsi="宋体"/>
        </w:rPr>
      </w:pPr>
      <w:bookmarkStart w:id="79" w:name="_Toc30572"/>
      <w:bookmarkStart w:id="80" w:name="_Toc22238"/>
      <w:bookmarkStart w:id="81" w:name="_Toc18370"/>
      <w:r>
        <w:rPr>
          <w:rFonts w:hint="eastAsia" w:hAnsi="宋体"/>
        </w:rPr>
        <w:t>二、服务要求</w:t>
      </w:r>
      <w:bookmarkEnd w:id="79"/>
      <w:bookmarkEnd w:id="80"/>
      <w:bookmarkEnd w:id="81"/>
    </w:p>
    <w:p>
      <w:pPr>
        <w:widowControl/>
        <w:spacing w:line="276" w:lineRule="auto"/>
        <w:jc w:val="left"/>
        <w:textAlignment w:val="bottom"/>
        <w:rPr>
          <w:rFonts w:cs="宋体" w:asciiTheme="minorEastAsia" w:hAnsiTheme="minorEastAsia" w:eastAsiaTheme="minorEastAsia"/>
          <w:b/>
          <w:bCs/>
          <w:kern w:val="0"/>
          <w:sz w:val="24"/>
          <w:szCs w:val="24"/>
        </w:rPr>
      </w:pPr>
      <w:r>
        <w:rPr>
          <w:rFonts w:hint="eastAsia" w:cs="宋体" w:asciiTheme="minorEastAsia" w:hAnsiTheme="minorEastAsia" w:eastAsiaTheme="minorEastAsia"/>
          <w:b/>
          <w:bCs/>
          <w:kern w:val="0"/>
          <w:sz w:val="24"/>
          <w:szCs w:val="24"/>
          <w:lang w:val="zh-CN"/>
        </w:rPr>
        <w:t>（</w:t>
      </w:r>
      <w:r>
        <w:rPr>
          <w:rFonts w:hint="eastAsia" w:cs="宋体" w:asciiTheme="minorEastAsia" w:hAnsiTheme="minorEastAsia" w:eastAsiaTheme="minorEastAsia"/>
          <w:b/>
          <w:bCs/>
          <w:kern w:val="0"/>
          <w:sz w:val="24"/>
          <w:szCs w:val="24"/>
        </w:rPr>
        <w:t>一</w:t>
      </w:r>
      <w:r>
        <w:rPr>
          <w:rFonts w:hint="eastAsia" w:cs="宋体" w:asciiTheme="minorEastAsia" w:hAnsiTheme="minorEastAsia" w:eastAsiaTheme="minorEastAsia"/>
          <w:b/>
          <w:bCs/>
          <w:kern w:val="0"/>
          <w:sz w:val="24"/>
          <w:szCs w:val="24"/>
          <w:lang w:val="zh-CN"/>
        </w:rPr>
        <w:t>）</w:t>
      </w:r>
      <w:r>
        <w:rPr>
          <w:rFonts w:hint="eastAsia" w:cs="宋体" w:asciiTheme="minorEastAsia" w:hAnsiTheme="minorEastAsia" w:eastAsiaTheme="minorEastAsia"/>
          <w:b/>
          <w:bCs/>
          <w:kern w:val="0"/>
          <w:sz w:val="24"/>
          <w:szCs w:val="24"/>
        </w:rPr>
        <w:t>维护清单</w:t>
      </w:r>
    </w:p>
    <w:tbl>
      <w:tblPr>
        <w:tblStyle w:val="24"/>
        <w:tblW w:w="5112" w:type="pct"/>
        <w:jc w:val="center"/>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Layout w:type="fixed"/>
        <w:tblCellMar>
          <w:top w:w="0" w:type="dxa"/>
          <w:left w:w="108" w:type="dxa"/>
          <w:bottom w:w="0" w:type="dxa"/>
          <w:right w:w="108" w:type="dxa"/>
        </w:tblCellMar>
      </w:tblPr>
      <w:tblGrid>
        <w:gridCol w:w="736"/>
        <w:gridCol w:w="1450"/>
        <w:gridCol w:w="823"/>
        <w:gridCol w:w="5510"/>
      </w:tblGrid>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432" w:type="pct"/>
            <w:tcBorders>
              <w:tl2br w:val="nil"/>
              <w:tr2bl w:val="nil"/>
            </w:tcBorders>
            <w:shd w:val="clear" w:color="auto" w:fill="DCE6F2" w:themeFill="accent1" w:themeFillTint="32"/>
            <w:vAlign w:val="center"/>
          </w:tcPr>
          <w:p>
            <w:pPr>
              <w:spacing w:line="360" w:lineRule="auto"/>
              <w:jc w:val="center"/>
              <w:rPr>
                <w:rFonts w:ascii="宋体" w:hAnsi="宋体" w:eastAsia="宋体" w:cs="宋体"/>
                <w:b/>
                <w:sz w:val="24"/>
                <w:szCs w:val="24"/>
              </w:rPr>
            </w:pPr>
            <w:r>
              <w:rPr>
                <w:rFonts w:hint="eastAsia" w:ascii="宋体" w:hAnsi="宋体" w:eastAsia="宋体" w:cs="宋体"/>
                <w:b/>
                <w:sz w:val="24"/>
                <w:szCs w:val="24"/>
              </w:rPr>
              <w:t>序号</w:t>
            </w:r>
          </w:p>
        </w:tc>
        <w:tc>
          <w:tcPr>
            <w:tcW w:w="851" w:type="pct"/>
            <w:tcBorders>
              <w:tl2br w:val="nil"/>
              <w:tr2bl w:val="nil"/>
            </w:tcBorders>
            <w:shd w:val="clear" w:color="auto" w:fill="DCE6F2" w:themeFill="accent1" w:themeFillTint="32"/>
            <w:vAlign w:val="center"/>
          </w:tcPr>
          <w:p>
            <w:pPr>
              <w:spacing w:line="360" w:lineRule="auto"/>
              <w:jc w:val="center"/>
              <w:rPr>
                <w:rFonts w:ascii="宋体" w:hAnsi="宋体" w:eastAsia="宋体" w:cs="宋体"/>
                <w:b/>
                <w:sz w:val="24"/>
                <w:szCs w:val="24"/>
              </w:rPr>
            </w:pPr>
            <w:r>
              <w:rPr>
                <w:rFonts w:hint="eastAsia" w:ascii="宋体" w:hAnsi="宋体" w:eastAsia="宋体" w:cs="宋体"/>
                <w:b/>
                <w:sz w:val="24"/>
                <w:szCs w:val="24"/>
              </w:rPr>
              <w:t>维护设备名称</w:t>
            </w:r>
          </w:p>
        </w:tc>
        <w:tc>
          <w:tcPr>
            <w:tcW w:w="483" w:type="pct"/>
            <w:tcBorders>
              <w:tl2br w:val="nil"/>
              <w:tr2bl w:val="nil"/>
            </w:tcBorders>
            <w:shd w:val="clear" w:color="auto" w:fill="DCE6F2" w:themeFill="accent1" w:themeFillTint="32"/>
            <w:vAlign w:val="center"/>
          </w:tcPr>
          <w:p>
            <w:pPr>
              <w:spacing w:line="360" w:lineRule="auto"/>
              <w:jc w:val="center"/>
              <w:rPr>
                <w:rFonts w:ascii="宋体" w:hAnsi="宋体" w:eastAsia="宋体" w:cs="宋体"/>
                <w:b/>
                <w:sz w:val="24"/>
                <w:szCs w:val="24"/>
              </w:rPr>
            </w:pPr>
            <w:r>
              <w:rPr>
                <w:rFonts w:hint="eastAsia" w:ascii="宋体" w:hAnsi="宋体" w:eastAsia="宋体" w:cs="宋体"/>
                <w:b/>
                <w:sz w:val="24"/>
                <w:szCs w:val="24"/>
              </w:rPr>
              <w:t>数量</w:t>
            </w:r>
          </w:p>
        </w:tc>
        <w:tc>
          <w:tcPr>
            <w:tcW w:w="3233" w:type="pct"/>
            <w:tcBorders>
              <w:tl2br w:val="nil"/>
              <w:tr2bl w:val="nil"/>
            </w:tcBorders>
            <w:shd w:val="clear" w:color="auto" w:fill="DCE6F2" w:themeFill="accent1" w:themeFillTint="32"/>
            <w:vAlign w:val="center"/>
          </w:tcPr>
          <w:p>
            <w:pPr>
              <w:spacing w:line="360" w:lineRule="auto"/>
              <w:jc w:val="center"/>
              <w:rPr>
                <w:rFonts w:ascii="宋体" w:hAnsi="宋体" w:eastAsia="宋体" w:cs="宋体"/>
                <w:b/>
                <w:sz w:val="24"/>
                <w:szCs w:val="24"/>
              </w:rPr>
            </w:pPr>
            <w:r>
              <w:rPr>
                <w:rFonts w:hint="eastAsia" w:ascii="宋体" w:hAnsi="宋体" w:eastAsia="宋体" w:cs="宋体"/>
                <w:b/>
                <w:sz w:val="24"/>
                <w:szCs w:val="24"/>
              </w:rPr>
              <w:t>维护内容</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432" w:type="pct"/>
            <w:tcBorders>
              <w:tl2br w:val="nil"/>
              <w:tr2bl w:val="nil"/>
            </w:tcBorders>
            <w:shd w:val="clear" w:color="auto" w:fill="auto"/>
            <w:vAlign w:val="center"/>
          </w:tcPr>
          <w:p>
            <w:pPr>
              <w:spacing w:line="360" w:lineRule="auto"/>
              <w:jc w:val="center"/>
              <w:rPr>
                <w:rFonts w:ascii="宋体" w:hAnsi="宋体" w:eastAsia="宋体" w:cs="宋体"/>
                <w:sz w:val="24"/>
                <w:szCs w:val="24"/>
              </w:rPr>
            </w:pPr>
            <w:r>
              <w:rPr>
                <w:rFonts w:hint="eastAsia" w:ascii="宋体" w:hAnsi="宋体" w:eastAsia="宋体" w:cs="宋体"/>
                <w:sz w:val="24"/>
                <w:szCs w:val="24"/>
              </w:rPr>
              <w:t>1</w:t>
            </w:r>
          </w:p>
        </w:tc>
        <w:tc>
          <w:tcPr>
            <w:tcW w:w="851" w:type="pct"/>
            <w:tcBorders>
              <w:tl2br w:val="nil"/>
              <w:tr2bl w:val="nil"/>
            </w:tcBorders>
            <w:shd w:val="clear" w:color="auto" w:fill="auto"/>
            <w:vAlign w:val="center"/>
          </w:tcPr>
          <w:p>
            <w:pPr>
              <w:spacing w:line="360" w:lineRule="auto"/>
              <w:jc w:val="center"/>
              <w:rPr>
                <w:rFonts w:ascii="宋体" w:hAnsi="宋体" w:eastAsia="宋体" w:cs="宋体"/>
                <w:sz w:val="24"/>
                <w:szCs w:val="24"/>
              </w:rPr>
            </w:pPr>
            <w:r>
              <w:rPr>
                <w:rFonts w:hint="eastAsia" w:ascii="宋体" w:hAnsi="宋体" w:eastAsia="宋体" w:cs="宋体"/>
                <w:sz w:val="24"/>
                <w:szCs w:val="24"/>
              </w:rPr>
              <w:t>ISQ7000 气相色谱质谱联用仪(Thermo Fisher公司)</w:t>
            </w:r>
          </w:p>
        </w:tc>
        <w:tc>
          <w:tcPr>
            <w:tcW w:w="483" w:type="pct"/>
            <w:tcBorders>
              <w:tl2br w:val="nil"/>
              <w:tr2bl w:val="nil"/>
            </w:tcBorders>
            <w:shd w:val="clear" w:color="auto" w:fill="auto"/>
            <w:vAlign w:val="center"/>
          </w:tcPr>
          <w:p>
            <w:pPr>
              <w:spacing w:line="360" w:lineRule="auto"/>
              <w:jc w:val="center"/>
              <w:rPr>
                <w:rFonts w:ascii="宋体" w:hAnsi="宋体" w:eastAsia="宋体" w:cs="宋体"/>
                <w:sz w:val="24"/>
                <w:szCs w:val="24"/>
              </w:rPr>
            </w:pPr>
            <w:r>
              <w:rPr>
                <w:rFonts w:hint="eastAsia" w:ascii="宋体" w:hAnsi="宋体" w:eastAsia="宋体" w:cs="宋体"/>
                <w:sz w:val="24"/>
                <w:szCs w:val="24"/>
              </w:rPr>
              <w:t>2台</w:t>
            </w:r>
          </w:p>
        </w:tc>
        <w:tc>
          <w:tcPr>
            <w:tcW w:w="3233" w:type="pct"/>
            <w:tcBorders>
              <w:tl2br w:val="nil"/>
              <w:tr2bl w:val="nil"/>
            </w:tcBorders>
            <w:shd w:val="clear" w:color="auto" w:fill="auto"/>
            <w:vAlign w:val="center"/>
          </w:tcPr>
          <w:p>
            <w:pPr>
              <w:spacing w:line="360" w:lineRule="auto"/>
              <w:rPr>
                <w:rFonts w:ascii="宋体" w:hAnsi="宋体" w:eastAsia="宋体" w:cs="宋体"/>
                <w:kern w:val="0"/>
                <w:sz w:val="24"/>
                <w:szCs w:val="24"/>
              </w:rPr>
            </w:pPr>
            <w:r>
              <w:rPr>
                <w:rFonts w:hint="eastAsia" w:ascii="宋体" w:hAnsi="宋体" w:eastAsia="宋体" w:cs="宋体"/>
                <w:kern w:val="0"/>
                <w:sz w:val="24"/>
                <w:szCs w:val="24"/>
              </w:rPr>
              <w:t>1、合约类型：全责合约；</w:t>
            </w:r>
          </w:p>
          <w:p>
            <w:pPr>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2、合同期内，中标供应商每年为仪器提供预防性维护保养及校正（PM）2次，该保养的流程，首先需要对仪器进行全面拆解，而且对于核心的功能模块进行彻底的清理、调节和测量，并依照工厂标准进行量化核对。如果发现存在不符合标准的零件，将进行更换，以将仪器性能优化至最佳状态，并减少仪器故障和延长仪器使用寿命；</w:t>
            </w:r>
          </w:p>
          <w:p>
            <w:pPr>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3、无限次数工程师上门维修；</w:t>
            </w:r>
          </w:p>
          <w:p>
            <w:pPr>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4、合同期内，采购人正常使用条件下，每次发生仪器故障，由原厂工程师进行维修，所需更换的故障零件均为原厂全新配件，所有费用、工时费、差旅费全部由中标供应商承担；</w:t>
            </w:r>
          </w:p>
          <w:p>
            <w:pPr>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5、当仪器设备发生故障时，工程师需在24-48小时内到现场进行维修；</w:t>
            </w:r>
          </w:p>
          <w:p>
            <w:pPr>
              <w:spacing w:line="360" w:lineRule="auto"/>
              <w:jc w:val="left"/>
              <w:rPr>
                <w:rFonts w:ascii="宋体" w:hAnsi="宋体" w:eastAsia="宋体" w:cs="宋体"/>
                <w:kern w:val="0"/>
                <w:sz w:val="24"/>
                <w:szCs w:val="24"/>
              </w:rPr>
            </w:pPr>
            <w:r>
              <w:rPr>
                <w:rFonts w:hint="eastAsia" w:ascii="宋体" w:hAnsi="宋体" w:eastAsia="宋体" w:cs="宋体"/>
                <w:sz w:val="24"/>
                <w:szCs w:val="24"/>
              </w:rPr>
              <w:t>6、2次/年上门预防性维护。</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432" w:type="pct"/>
            <w:tcBorders>
              <w:tl2br w:val="nil"/>
              <w:tr2bl w:val="nil"/>
            </w:tcBorders>
            <w:shd w:val="clear" w:color="auto" w:fill="auto"/>
            <w:vAlign w:val="center"/>
          </w:tcPr>
          <w:p>
            <w:pPr>
              <w:spacing w:line="360" w:lineRule="auto"/>
              <w:jc w:val="center"/>
              <w:rPr>
                <w:rFonts w:ascii="宋体" w:hAnsi="宋体" w:eastAsia="宋体" w:cs="宋体"/>
                <w:sz w:val="24"/>
                <w:szCs w:val="24"/>
              </w:rPr>
            </w:pPr>
            <w:r>
              <w:rPr>
                <w:rFonts w:hint="eastAsia" w:ascii="宋体" w:hAnsi="宋体" w:eastAsia="宋体" w:cs="宋体"/>
                <w:sz w:val="24"/>
                <w:szCs w:val="24"/>
              </w:rPr>
              <w:t>2</w:t>
            </w:r>
          </w:p>
        </w:tc>
        <w:tc>
          <w:tcPr>
            <w:tcW w:w="851" w:type="pct"/>
            <w:tcBorders>
              <w:tl2br w:val="nil"/>
              <w:tr2bl w:val="nil"/>
            </w:tcBorders>
            <w:shd w:val="clear" w:color="auto" w:fill="auto"/>
            <w:vAlign w:val="center"/>
          </w:tcPr>
          <w:p>
            <w:pPr>
              <w:spacing w:line="360" w:lineRule="auto"/>
              <w:jc w:val="center"/>
              <w:rPr>
                <w:rFonts w:ascii="宋体" w:hAnsi="宋体" w:eastAsia="宋体" w:cs="宋体"/>
                <w:sz w:val="24"/>
                <w:szCs w:val="24"/>
              </w:rPr>
            </w:pPr>
            <w:r>
              <w:rPr>
                <w:rFonts w:hint="eastAsia" w:ascii="宋体" w:hAnsi="宋体" w:eastAsia="宋体" w:cs="宋体"/>
                <w:sz w:val="24"/>
                <w:szCs w:val="24"/>
              </w:rPr>
              <w:t>气相色谱质谱联用仪QP2020(岛津公司)</w:t>
            </w:r>
          </w:p>
        </w:tc>
        <w:tc>
          <w:tcPr>
            <w:tcW w:w="483" w:type="pct"/>
            <w:tcBorders>
              <w:tl2br w:val="nil"/>
              <w:tr2bl w:val="nil"/>
            </w:tcBorders>
            <w:shd w:val="clear" w:color="auto" w:fill="auto"/>
            <w:vAlign w:val="center"/>
          </w:tcPr>
          <w:p>
            <w:pPr>
              <w:spacing w:line="360" w:lineRule="auto"/>
              <w:jc w:val="center"/>
              <w:rPr>
                <w:rFonts w:ascii="宋体" w:hAnsi="宋体" w:eastAsia="宋体" w:cs="宋体"/>
                <w:sz w:val="24"/>
                <w:szCs w:val="24"/>
              </w:rPr>
            </w:pPr>
            <w:r>
              <w:rPr>
                <w:rFonts w:hint="eastAsia" w:ascii="宋体" w:hAnsi="宋体" w:eastAsia="宋体" w:cs="宋体"/>
                <w:sz w:val="24"/>
                <w:szCs w:val="24"/>
              </w:rPr>
              <w:t>1台</w:t>
            </w:r>
          </w:p>
        </w:tc>
        <w:tc>
          <w:tcPr>
            <w:tcW w:w="3233" w:type="pct"/>
            <w:tcBorders>
              <w:tl2br w:val="nil"/>
              <w:tr2bl w:val="nil"/>
            </w:tcBorders>
            <w:shd w:val="clear" w:color="auto" w:fill="auto"/>
            <w:vAlign w:val="center"/>
          </w:tcPr>
          <w:p>
            <w:pPr>
              <w:spacing w:line="360" w:lineRule="auto"/>
              <w:rPr>
                <w:rFonts w:ascii="宋体" w:hAnsi="宋体" w:eastAsia="宋体" w:cs="宋体"/>
                <w:kern w:val="0"/>
                <w:sz w:val="24"/>
                <w:szCs w:val="24"/>
              </w:rPr>
            </w:pPr>
            <w:r>
              <w:rPr>
                <w:rFonts w:hint="eastAsia" w:ascii="宋体" w:hAnsi="宋体" w:eastAsia="宋体" w:cs="宋体"/>
                <w:kern w:val="0"/>
                <w:sz w:val="24"/>
                <w:szCs w:val="24"/>
              </w:rPr>
              <w:t>1、合约类型：全责合约；</w:t>
            </w:r>
          </w:p>
          <w:p>
            <w:pPr>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2、合同期内，中标供应商每年为仪器提供预防性维护保养及校正（PM）2次，该保养的流程，首先需要对仪器进行全面拆解，而且对于核心的功能模块进行彻底的清理、调节和测量，并依照工厂标准进行量化核对。如果发现存在不符合标准的零件，将进行更换，以将仪器性能优化至最佳状态，并减少仪器故障和延长仪器使用寿命；</w:t>
            </w:r>
          </w:p>
          <w:p>
            <w:pPr>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3、无限次数工程师上门维修；</w:t>
            </w:r>
          </w:p>
          <w:p>
            <w:pPr>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4、合同期内，采购人正常使用条件下，每次发生仪器故障，由原厂工程师进行维修，所需更换的故障零件均为原厂全新配件，所有费用、工时费、差旅费全部由中标供应商承担；</w:t>
            </w:r>
          </w:p>
          <w:p>
            <w:pPr>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5、当仪器设备发生故障时，工程师需在24-48小时内到现场进行维修；</w:t>
            </w:r>
          </w:p>
          <w:p>
            <w:pPr>
              <w:spacing w:line="360" w:lineRule="auto"/>
              <w:jc w:val="left"/>
              <w:rPr>
                <w:rFonts w:ascii="宋体" w:hAnsi="宋体" w:eastAsia="宋体" w:cs="宋体"/>
                <w:sz w:val="24"/>
                <w:szCs w:val="24"/>
              </w:rPr>
            </w:pPr>
            <w:r>
              <w:rPr>
                <w:rFonts w:hint="eastAsia" w:ascii="宋体" w:hAnsi="宋体" w:eastAsia="宋体" w:cs="宋体"/>
                <w:sz w:val="24"/>
                <w:szCs w:val="24"/>
              </w:rPr>
              <w:t>6、2次/年上门预防性维护。</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432" w:type="pct"/>
            <w:tcBorders>
              <w:tl2br w:val="nil"/>
              <w:tr2bl w:val="nil"/>
            </w:tcBorders>
            <w:shd w:val="clear" w:color="auto" w:fill="auto"/>
            <w:vAlign w:val="center"/>
          </w:tcPr>
          <w:p>
            <w:pPr>
              <w:spacing w:line="360" w:lineRule="auto"/>
              <w:jc w:val="center"/>
              <w:rPr>
                <w:rFonts w:ascii="宋体" w:hAnsi="宋体" w:eastAsia="宋体" w:cs="宋体"/>
                <w:sz w:val="24"/>
                <w:szCs w:val="24"/>
              </w:rPr>
            </w:pPr>
            <w:r>
              <w:rPr>
                <w:rFonts w:hint="eastAsia" w:ascii="宋体" w:hAnsi="宋体" w:eastAsia="宋体" w:cs="宋体"/>
                <w:sz w:val="24"/>
                <w:szCs w:val="24"/>
              </w:rPr>
              <w:t>3</w:t>
            </w:r>
          </w:p>
        </w:tc>
        <w:tc>
          <w:tcPr>
            <w:tcW w:w="851" w:type="pct"/>
            <w:tcBorders>
              <w:tl2br w:val="nil"/>
              <w:tr2bl w:val="nil"/>
            </w:tcBorders>
            <w:shd w:val="clear" w:color="auto" w:fill="auto"/>
            <w:vAlign w:val="center"/>
          </w:tcPr>
          <w:p>
            <w:pPr>
              <w:spacing w:after="240" w:line="360" w:lineRule="auto"/>
              <w:jc w:val="center"/>
              <w:rPr>
                <w:rFonts w:ascii="宋体" w:hAnsi="宋体" w:eastAsia="宋体" w:cs="宋体"/>
                <w:sz w:val="24"/>
                <w:szCs w:val="24"/>
              </w:rPr>
            </w:pPr>
            <w:r>
              <w:rPr>
                <w:rFonts w:hint="eastAsia" w:ascii="宋体" w:hAnsi="宋体" w:eastAsia="宋体" w:cs="宋体"/>
                <w:sz w:val="24"/>
                <w:szCs w:val="24"/>
              </w:rPr>
              <w:t>7010气相色谱质谱联用仪(安捷伦公司)</w:t>
            </w:r>
          </w:p>
        </w:tc>
        <w:tc>
          <w:tcPr>
            <w:tcW w:w="483" w:type="pct"/>
            <w:tcBorders>
              <w:tl2br w:val="nil"/>
              <w:tr2bl w:val="nil"/>
            </w:tcBorders>
            <w:shd w:val="clear" w:color="auto" w:fill="auto"/>
            <w:vAlign w:val="center"/>
          </w:tcPr>
          <w:p>
            <w:pPr>
              <w:widowControl/>
              <w:spacing w:line="360" w:lineRule="auto"/>
              <w:jc w:val="center"/>
              <w:rPr>
                <w:rFonts w:ascii="宋体" w:hAnsi="宋体" w:eastAsia="宋体" w:cs="宋体"/>
                <w:kern w:val="0"/>
                <w:sz w:val="24"/>
                <w:szCs w:val="24"/>
              </w:rPr>
            </w:pPr>
            <w:r>
              <w:rPr>
                <w:rFonts w:hint="eastAsia" w:ascii="宋体" w:hAnsi="宋体" w:eastAsia="宋体" w:cs="宋体"/>
                <w:sz w:val="24"/>
                <w:szCs w:val="24"/>
              </w:rPr>
              <w:t>1台</w:t>
            </w:r>
          </w:p>
        </w:tc>
        <w:tc>
          <w:tcPr>
            <w:tcW w:w="3233" w:type="pct"/>
            <w:tcBorders>
              <w:tl2br w:val="nil"/>
              <w:tr2bl w:val="nil"/>
            </w:tcBorders>
            <w:shd w:val="clear" w:color="auto" w:fill="auto"/>
            <w:vAlign w:val="center"/>
          </w:tcPr>
          <w:p>
            <w:pPr>
              <w:widowControl/>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1、合约类型：全责合约；</w:t>
            </w:r>
          </w:p>
          <w:p>
            <w:pPr>
              <w:widowControl/>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2、合同期内，中标供应商每年为仪器提供预防性维护保养及校正（PM）2次，该保养的流程，首先需要对仪器进行全面拆解，而且对于核心的功能模块进行彻底的清理、调节和测量，并依照工厂标准进行量化核对。如果发现存在不符合标准的零件，将进行更换，以将仪器性能优化至最佳状态，并减少仪器故障和延长仪器使用寿命；</w:t>
            </w:r>
          </w:p>
          <w:p>
            <w:pPr>
              <w:widowControl/>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3、无限次数工程师上门维修；</w:t>
            </w:r>
          </w:p>
          <w:p>
            <w:pPr>
              <w:widowControl/>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4、合同期内，采购人正常使用条件下，每次发生仪器故障，由原厂工程师进行维修，所需更换的故障零件均为原厂全新配件，所有费用、工时费、差旅费全部由中标供应商承担；</w:t>
            </w:r>
          </w:p>
          <w:p>
            <w:pPr>
              <w:widowControl/>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5、</w:t>
            </w:r>
            <w:r>
              <w:rPr>
                <w:rFonts w:hint="eastAsia" w:ascii="宋体" w:hAnsi="宋体" w:eastAsia="宋体" w:cs="宋体"/>
                <w:sz w:val="24"/>
                <w:szCs w:val="24"/>
              </w:rPr>
              <w:t>当仪器设备发生故障时，工程师需在24-48小时内到现场进行维修</w:t>
            </w:r>
            <w:r>
              <w:rPr>
                <w:rFonts w:hint="eastAsia" w:ascii="宋体" w:hAnsi="宋体" w:eastAsia="宋体" w:cs="宋体"/>
                <w:kern w:val="0"/>
                <w:sz w:val="24"/>
                <w:szCs w:val="24"/>
              </w:rPr>
              <w:t>；</w:t>
            </w:r>
          </w:p>
          <w:p>
            <w:pPr>
              <w:widowControl/>
              <w:spacing w:line="360" w:lineRule="auto"/>
              <w:jc w:val="left"/>
              <w:rPr>
                <w:rFonts w:ascii="宋体" w:hAnsi="宋体" w:eastAsia="宋体" w:cs="宋体"/>
                <w:sz w:val="24"/>
                <w:szCs w:val="24"/>
              </w:rPr>
            </w:pPr>
            <w:r>
              <w:rPr>
                <w:rFonts w:hint="eastAsia" w:ascii="宋体" w:hAnsi="宋体" w:eastAsia="宋体" w:cs="宋体"/>
                <w:kern w:val="0"/>
                <w:sz w:val="24"/>
                <w:szCs w:val="24"/>
              </w:rPr>
              <w:t>6、2次/年上门预防性维护。</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432" w:type="pct"/>
            <w:tcBorders>
              <w:tl2br w:val="nil"/>
              <w:tr2bl w:val="nil"/>
            </w:tcBorders>
            <w:shd w:val="clear" w:color="auto" w:fill="auto"/>
            <w:vAlign w:val="center"/>
          </w:tcPr>
          <w:p>
            <w:pPr>
              <w:spacing w:line="360" w:lineRule="auto"/>
              <w:jc w:val="center"/>
              <w:rPr>
                <w:rFonts w:ascii="宋体" w:hAnsi="宋体" w:eastAsia="宋体" w:cs="宋体"/>
                <w:sz w:val="24"/>
                <w:szCs w:val="24"/>
              </w:rPr>
            </w:pPr>
            <w:r>
              <w:rPr>
                <w:rFonts w:hint="eastAsia" w:ascii="宋体" w:hAnsi="宋体" w:eastAsia="宋体" w:cs="宋体"/>
                <w:sz w:val="24"/>
                <w:szCs w:val="24"/>
              </w:rPr>
              <w:t>4</w:t>
            </w:r>
          </w:p>
        </w:tc>
        <w:tc>
          <w:tcPr>
            <w:tcW w:w="851" w:type="pct"/>
            <w:tcBorders>
              <w:tl2br w:val="nil"/>
              <w:tr2bl w:val="nil"/>
            </w:tcBorders>
            <w:shd w:val="clear" w:color="auto" w:fill="auto"/>
            <w:vAlign w:val="center"/>
          </w:tcPr>
          <w:p>
            <w:pPr>
              <w:spacing w:after="240" w:line="360" w:lineRule="auto"/>
              <w:jc w:val="center"/>
              <w:rPr>
                <w:rFonts w:ascii="宋体" w:hAnsi="宋体" w:eastAsia="宋体" w:cs="宋体"/>
                <w:sz w:val="24"/>
                <w:szCs w:val="24"/>
              </w:rPr>
            </w:pPr>
            <w:r>
              <w:rPr>
                <w:rFonts w:hint="eastAsia" w:ascii="宋体" w:hAnsi="宋体" w:eastAsia="宋体" w:cs="宋体"/>
                <w:sz w:val="24"/>
                <w:szCs w:val="24"/>
              </w:rPr>
              <w:t>5977B气相色谱质谱联用仪(安捷伦公司)</w:t>
            </w:r>
          </w:p>
        </w:tc>
        <w:tc>
          <w:tcPr>
            <w:tcW w:w="483" w:type="pct"/>
            <w:tcBorders>
              <w:tl2br w:val="nil"/>
              <w:tr2bl w:val="nil"/>
            </w:tcBorders>
            <w:shd w:val="clear" w:color="auto" w:fill="auto"/>
            <w:vAlign w:val="center"/>
          </w:tcPr>
          <w:p>
            <w:pPr>
              <w:widowControl/>
              <w:spacing w:line="360" w:lineRule="auto"/>
              <w:jc w:val="center"/>
              <w:rPr>
                <w:rFonts w:ascii="宋体" w:hAnsi="宋体" w:eastAsia="宋体" w:cs="宋体"/>
                <w:kern w:val="0"/>
                <w:sz w:val="24"/>
                <w:szCs w:val="24"/>
              </w:rPr>
            </w:pPr>
            <w:r>
              <w:rPr>
                <w:rFonts w:hint="eastAsia" w:ascii="宋体" w:hAnsi="宋体" w:eastAsia="宋体" w:cs="宋体"/>
                <w:sz w:val="24"/>
                <w:szCs w:val="24"/>
              </w:rPr>
              <w:t>1台</w:t>
            </w:r>
          </w:p>
        </w:tc>
        <w:tc>
          <w:tcPr>
            <w:tcW w:w="3233" w:type="pct"/>
            <w:tcBorders>
              <w:tl2br w:val="nil"/>
              <w:tr2bl w:val="nil"/>
            </w:tcBorders>
            <w:shd w:val="clear" w:color="auto" w:fill="auto"/>
            <w:vAlign w:val="center"/>
          </w:tcPr>
          <w:p>
            <w:pPr>
              <w:widowControl/>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1、合约类型：全责合约；</w:t>
            </w:r>
          </w:p>
          <w:p>
            <w:pPr>
              <w:widowControl/>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2、合同期内，中标供应商每年为仪器提供预防性维护保养及校正（PM）2次，该保养的流程，首先需要对仪器进行全面拆解，而且对于核心的功能模块进行彻底的清理、调节和测量，并依照工厂标准进行量化核对。如果发现存在不符合标准的零件，将进行更换，以将仪器性能优化至最佳状态，并减少仪器故障和延长仪器使用寿命；</w:t>
            </w:r>
          </w:p>
          <w:p>
            <w:pPr>
              <w:widowControl/>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3、无限次数工程师上门维修；</w:t>
            </w:r>
          </w:p>
          <w:p>
            <w:pPr>
              <w:widowControl/>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4、合同期内，采购人正常使用条件下，每次发生仪器故障，由原厂工程师进行维修，所需更换的故障零件均为原厂全新配件，所有费用、工时费、差旅费全部由中标供应商承担；</w:t>
            </w:r>
          </w:p>
          <w:p>
            <w:pPr>
              <w:widowControl/>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5、</w:t>
            </w:r>
            <w:r>
              <w:rPr>
                <w:rFonts w:hint="eastAsia" w:ascii="宋体" w:hAnsi="宋体" w:eastAsia="宋体" w:cs="宋体"/>
                <w:sz w:val="24"/>
                <w:szCs w:val="24"/>
              </w:rPr>
              <w:t>当仪器设备发生故障时，工程师需在24-48小时内到现场进行维修</w:t>
            </w:r>
            <w:r>
              <w:rPr>
                <w:rFonts w:hint="eastAsia" w:ascii="宋体" w:hAnsi="宋体" w:eastAsia="宋体" w:cs="宋体"/>
                <w:kern w:val="0"/>
                <w:sz w:val="24"/>
                <w:szCs w:val="24"/>
              </w:rPr>
              <w:t>；</w:t>
            </w:r>
          </w:p>
          <w:p>
            <w:pPr>
              <w:widowControl/>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6、2次/年上门预防性维护。</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432" w:type="pct"/>
            <w:tcBorders>
              <w:tl2br w:val="nil"/>
              <w:tr2bl w:val="nil"/>
            </w:tcBorders>
            <w:shd w:val="clear" w:color="auto" w:fill="auto"/>
            <w:vAlign w:val="center"/>
          </w:tcPr>
          <w:p>
            <w:pPr>
              <w:spacing w:line="360" w:lineRule="auto"/>
              <w:jc w:val="center"/>
              <w:rPr>
                <w:rFonts w:ascii="宋体" w:hAnsi="宋体" w:eastAsia="宋体" w:cs="宋体"/>
                <w:sz w:val="24"/>
                <w:szCs w:val="24"/>
              </w:rPr>
            </w:pPr>
            <w:r>
              <w:rPr>
                <w:rFonts w:hint="eastAsia" w:ascii="宋体" w:hAnsi="宋体" w:eastAsia="宋体" w:cs="宋体"/>
                <w:sz w:val="24"/>
                <w:szCs w:val="24"/>
              </w:rPr>
              <w:t>5</w:t>
            </w:r>
          </w:p>
        </w:tc>
        <w:tc>
          <w:tcPr>
            <w:tcW w:w="851" w:type="pct"/>
            <w:tcBorders>
              <w:tl2br w:val="nil"/>
              <w:tr2bl w:val="nil"/>
            </w:tcBorders>
            <w:shd w:val="clear" w:color="auto" w:fill="auto"/>
            <w:vAlign w:val="center"/>
          </w:tcPr>
          <w:p>
            <w:pPr>
              <w:spacing w:line="360" w:lineRule="auto"/>
              <w:jc w:val="center"/>
              <w:rPr>
                <w:rFonts w:ascii="宋体" w:hAnsi="宋体" w:eastAsia="宋体" w:cs="宋体"/>
                <w:sz w:val="24"/>
                <w:szCs w:val="24"/>
              </w:rPr>
            </w:pPr>
            <w:r>
              <w:rPr>
                <w:rFonts w:hint="eastAsia" w:ascii="宋体" w:hAnsi="宋体" w:eastAsia="宋体" w:cs="宋体"/>
                <w:sz w:val="24"/>
                <w:szCs w:val="24"/>
              </w:rPr>
              <w:t>Clarus600气相色谱仪(Perkin Eimer公司)</w:t>
            </w:r>
          </w:p>
        </w:tc>
        <w:tc>
          <w:tcPr>
            <w:tcW w:w="483" w:type="pct"/>
            <w:tcBorders>
              <w:tl2br w:val="nil"/>
              <w:tr2bl w:val="nil"/>
            </w:tcBorders>
            <w:shd w:val="clear" w:color="auto" w:fill="auto"/>
            <w:vAlign w:val="center"/>
          </w:tcPr>
          <w:p>
            <w:pPr>
              <w:spacing w:line="360" w:lineRule="auto"/>
              <w:jc w:val="center"/>
              <w:rPr>
                <w:rFonts w:ascii="宋体" w:hAnsi="宋体" w:eastAsia="宋体" w:cs="宋体"/>
                <w:sz w:val="24"/>
                <w:szCs w:val="24"/>
              </w:rPr>
            </w:pPr>
            <w:r>
              <w:rPr>
                <w:rFonts w:hint="eastAsia" w:ascii="宋体" w:hAnsi="宋体" w:eastAsia="宋体" w:cs="宋体"/>
                <w:sz w:val="24"/>
                <w:szCs w:val="24"/>
              </w:rPr>
              <w:t>1台</w:t>
            </w:r>
          </w:p>
        </w:tc>
        <w:tc>
          <w:tcPr>
            <w:tcW w:w="3233" w:type="pct"/>
            <w:tcBorders>
              <w:tl2br w:val="nil"/>
              <w:tr2bl w:val="nil"/>
            </w:tcBorders>
            <w:shd w:val="clear" w:color="auto" w:fill="auto"/>
            <w:vAlign w:val="center"/>
          </w:tcPr>
          <w:p>
            <w:pPr>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1、合约类型：全责合约；</w:t>
            </w:r>
          </w:p>
          <w:p>
            <w:pPr>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2、合同期内，中标供应商每年为仪器提供预防性维护保养及校正（PM）2次，该保养的流程，首先需要对仪器进行全面拆解，而且对于核心的功能模块进行彻底的清理、调节和测量，并依照工厂标准进行量化核对。如果发现存在不符合标准的零件，将进行更换，以将仪器性能优化至最佳状态，并减少仪器故障和延长仪器使用寿命；</w:t>
            </w:r>
          </w:p>
          <w:p>
            <w:pPr>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3、无限次数工程师上门维修；</w:t>
            </w:r>
          </w:p>
          <w:p>
            <w:pPr>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4、合同期内，采购人正常使用条件下，每次发生仪器故障，由原厂工程师进行维修，所需更换的故障零件均为原厂全新配件，所有费用、工时费、差旅费全部由中标供应商承担；</w:t>
            </w:r>
          </w:p>
          <w:p>
            <w:pPr>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5、当仪器设备发生故障时，工程师需在24-48小时内到现场进行维修；</w:t>
            </w:r>
          </w:p>
          <w:p>
            <w:pPr>
              <w:spacing w:line="360" w:lineRule="auto"/>
              <w:jc w:val="left"/>
              <w:rPr>
                <w:rFonts w:ascii="宋体" w:hAnsi="宋体" w:eastAsia="宋体" w:cs="宋体"/>
                <w:kern w:val="0"/>
                <w:sz w:val="24"/>
                <w:szCs w:val="24"/>
              </w:rPr>
            </w:pPr>
            <w:r>
              <w:rPr>
                <w:rFonts w:hint="eastAsia" w:ascii="宋体" w:hAnsi="宋体" w:eastAsia="宋体" w:cs="宋体"/>
                <w:sz w:val="24"/>
                <w:szCs w:val="24"/>
              </w:rPr>
              <w:t>6、2次/年上门预防性维护。</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432" w:type="pct"/>
            <w:tcBorders>
              <w:tl2br w:val="nil"/>
              <w:tr2bl w:val="nil"/>
            </w:tcBorders>
            <w:shd w:val="clear" w:color="auto" w:fill="auto"/>
            <w:vAlign w:val="center"/>
          </w:tcPr>
          <w:p>
            <w:pPr>
              <w:spacing w:line="360" w:lineRule="auto"/>
              <w:jc w:val="center"/>
              <w:rPr>
                <w:rFonts w:ascii="宋体" w:hAnsi="宋体" w:eastAsia="宋体" w:cs="宋体"/>
                <w:sz w:val="24"/>
                <w:szCs w:val="24"/>
              </w:rPr>
            </w:pPr>
            <w:r>
              <w:rPr>
                <w:rFonts w:hint="eastAsia" w:ascii="宋体" w:hAnsi="宋体" w:eastAsia="宋体" w:cs="宋体"/>
                <w:sz w:val="24"/>
                <w:szCs w:val="24"/>
              </w:rPr>
              <w:t>6</w:t>
            </w:r>
          </w:p>
        </w:tc>
        <w:tc>
          <w:tcPr>
            <w:tcW w:w="851" w:type="pct"/>
            <w:tcBorders>
              <w:tl2br w:val="nil"/>
              <w:tr2bl w:val="nil"/>
            </w:tcBorders>
            <w:shd w:val="clear" w:color="auto" w:fill="auto"/>
            <w:vAlign w:val="center"/>
          </w:tcPr>
          <w:p>
            <w:pPr>
              <w:spacing w:line="360" w:lineRule="auto"/>
              <w:jc w:val="center"/>
              <w:rPr>
                <w:rFonts w:ascii="宋体" w:hAnsi="宋体" w:eastAsia="宋体" w:cs="宋体"/>
                <w:sz w:val="24"/>
                <w:szCs w:val="24"/>
              </w:rPr>
            </w:pPr>
            <w:r>
              <w:rPr>
                <w:rFonts w:hint="eastAsia" w:ascii="宋体" w:hAnsi="宋体" w:eastAsia="宋体" w:cs="宋体"/>
                <w:sz w:val="24"/>
                <w:szCs w:val="24"/>
              </w:rPr>
              <w:t>7890A气相色谱仪 (安捷伦公司)</w:t>
            </w:r>
          </w:p>
        </w:tc>
        <w:tc>
          <w:tcPr>
            <w:tcW w:w="483" w:type="pct"/>
            <w:tcBorders>
              <w:tl2br w:val="nil"/>
              <w:tr2bl w:val="nil"/>
            </w:tcBorders>
            <w:shd w:val="clear" w:color="auto" w:fill="auto"/>
            <w:vAlign w:val="center"/>
          </w:tcPr>
          <w:p>
            <w:pPr>
              <w:widowControl/>
              <w:spacing w:line="360" w:lineRule="auto"/>
              <w:jc w:val="center"/>
              <w:rPr>
                <w:rFonts w:ascii="宋体" w:hAnsi="宋体" w:eastAsia="宋体" w:cs="宋体"/>
                <w:kern w:val="0"/>
                <w:sz w:val="24"/>
                <w:szCs w:val="24"/>
              </w:rPr>
            </w:pPr>
            <w:r>
              <w:rPr>
                <w:rFonts w:hint="eastAsia" w:ascii="宋体" w:hAnsi="宋体" w:eastAsia="宋体" w:cs="宋体"/>
                <w:sz w:val="24"/>
                <w:szCs w:val="24"/>
              </w:rPr>
              <w:t>2台</w:t>
            </w:r>
          </w:p>
        </w:tc>
        <w:tc>
          <w:tcPr>
            <w:tcW w:w="3233" w:type="pct"/>
            <w:tcBorders>
              <w:tl2br w:val="nil"/>
              <w:tr2bl w:val="nil"/>
            </w:tcBorders>
            <w:shd w:val="clear" w:color="auto" w:fill="auto"/>
            <w:vAlign w:val="center"/>
          </w:tcPr>
          <w:p>
            <w:pPr>
              <w:spacing w:line="360" w:lineRule="auto"/>
              <w:rPr>
                <w:rFonts w:ascii="宋体" w:hAnsi="宋体" w:eastAsia="宋体" w:cs="宋体"/>
                <w:kern w:val="0"/>
                <w:sz w:val="24"/>
                <w:szCs w:val="24"/>
              </w:rPr>
            </w:pPr>
            <w:r>
              <w:rPr>
                <w:rFonts w:hint="eastAsia" w:ascii="宋体" w:hAnsi="宋体" w:eastAsia="宋体" w:cs="宋体"/>
                <w:kern w:val="0"/>
                <w:sz w:val="24"/>
                <w:szCs w:val="24"/>
              </w:rPr>
              <w:t>1、合约类型：全责合约；</w:t>
            </w:r>
          </w:p>
          <w:p>
            <w:pPr>
              <w:widowControl/>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2、合同期内，中标供应商每年为仪器提供预防性维护保养及校正（PM）2次，该保养的流程，首先需要对仪器进行全面拆解，而且对于核心的功能模块进行彻底的清理、调节和测量，并依照工厂标准进行量化核对。如果发现存在不符合标准的零件，将进行更换，以将仪器性能优化至最佳状态，并减少仪器故障和延长仪器使用寿命；</w:t>
            </w:r>
          </w:p>
          <w:p>
            <w:pPr>
              <w:widowControl/>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3、无限次数工程师上门维修；</w:t>
            </w:r>
          </w:p>
          <w:p>
            <w:pPr>
              <w:widowControl/>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4、合同期内，采购人正常使用条件下，每次发生仪器故障，由原厂工程师进行维修，所需更换的故障零件均为原厂全新配件，所有费用、工时费、差旅费全部由中标供应商承担；</w:t>
            </w:r>
          </w:p>
          <w:p>
            <w:pPr>
              <w:widowControl/>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5、当仪器设备发生故障时，工程师需在24-48小时内到现场进行维修；</w:t>
            </w:r>
          </w:p>
          <w:p>
            <w:pPr>
              <w:widowControl/>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6、2次/年上门预防性维护。</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432" w:type="pct"/>
            <w:tcBorders>
              <w:tl2br w:val="nil"/>
              <w:tr2bl w:val="nil"/>
            </w:tcBorders>
            <w:shd w:val="clear" w:color="auto" w:fill="auto"/>
            <w:vAlign w:val="center"/>
          </w:tcPr>
          <w:p>
            <w:pPr>
              <w:spacing w:line="360" w:lineRule="auto"/>
              <w:jc w:val="center"/>
              <w:rPr>
                <w:rFonts w:ascii="宋体" w:hAnsi="宋体" w:eastAsia="宋体" w:cs="宋体"/>
                <w:sz w:val="24"/>
                <w:szCs w:val="24"/>
              </w:rPr>
            </w:pPr>
            <w:r>
              <w:rPr>
                <w:rFonts w:hint="eastAsia" w:ascii="宋体" w:hAnsi="宋体" w:eastAsia="宋体" w:cs="宋体"/>
                <w:sz w:val="24"/>
                <w:szCs w:val="24"/>
              </w:rPr>
              <w:t>7</w:t>
            </w:r>
          </w:p>
        </w:tc>
        <w:tc>
          <w:tcPr>
            <w:tcW w:w="851" w:type="pct"/>
            <w:tcBorders>
              <w:tl2br w:val="nil"/>
              <w:tr2bl w:val="nil"/>
            </w:tcBorders>
            <w:shd w:val="clear" w:color="auto" w:fill="auto"/>
            <w:vAlign w:val="center"/>
          </w:tcPr>
          <w:p>
            <w:pPr>
              <w:spacing w:line="360" w:lineRule="auto"/>
              <w:jc w:val="center"/>
              <w:rPr>
                <w:rFonts w:ascii="宋体" w:hAnsi="宋体" w:eastAsia="宋体" w:cs="宋体"/>
                <w:sz w:val="24"/>
                <w:szCs w:val="24"/>
              </w:rPr>
            </w:pPr>
            <w:r>
              <w:rPr>
                <w:rFonts w:hint="eastAsia" w:ascii="宋体" w:hAnsi="宋体" w:eastAsia="宋体" w:cs="宋体"/>
                <w:sz w:val="24"/>
                <w:szCs w:val="24"/>
              </w:rPr>
              <w:t>TSQ-Quantiva液相色谱质谱联用仪</w:t>
            </w:r>
          </w:p>
          <w:p>
            <w:pPr>
              <w:spacing w:line="360" w:lineRule="auto"/>
              <w:jc w:val="center"/>
              <w:rPr>
                <w:rFonts w:ascii="宋体" w:hAnsi="宋体" w:eastAsia="宋体" w:cs="宋体"/>
                <w:sz w:val="24"/>
                <w:szCs w:val="24"/>
              </w:rPr>
            </w:pPr>
            <w:r>
              <w:rPr>
                <w:rFonts w:hint="eastAsia" w:ascii="宋体" w:hAnsi="宋体" w:eastAsia="宋体" w:cs="宋体"/>
                <w:sz w:val="24"/>
                <w:szCs w:val="24"/>
              </w:rPr>
              <w:t>(Thermo Fisher公司)</w:t>
            </w:r>
          </w:p>
        </w:tc>
        <w:tc>
          <w:tcPr>
            <w:tcW w:w="483" w:type="pct"/>
            <w:tcBorders>
              <w:tl2br w:val="nil"/>
              <w:tr2bl w:val="nil"/>
            </w:tcBorders>
            <w:shd w:val="clear" w:color="auto" w:fill="auto"/>
            <w:vAlign w:val="center"/>
          </w:tcPr>
          <w:p>
            <w:pPr>
              <w:spacing w:line="360" w:lineRule="auto"/>
              <w:jc w:val="center"/>
              <w:rPr>
                <w:rFonts w:ascii="宋体" w:hAnsi="宋体" w:eastAsia="宋体" w:cs="宋体"/>
                <w:sz w:val="24"/>
                <w:szCs w:val="24"/>
              </w:rPr>
            </w:pPr>
            <w:r>
              <w:rPr>
                <w:rFonts w:hint="eastAsia" w:ascii="宋体" w:hAnsi="宋体" w:eastAsia="宋体" w:cs="宋体"/>
                <w:sz w:val="24"/>
                <w:szCs w:val="24"/>
              </w:rPr>
              <w:t>1台</w:t>
            </w:r>
          </w:p>
        </w:tc>
        <w:tc>
          <w:tcPr>
            <w:tcW w:w="3233" w:type="pct"/>
            <w:tcBorders>
              <w:tl2br w:val="nil"/>
              <w:tr2bl w:val="nil"/>
            </w:tcBorders>
            <w:shd w:val="clear" w:color="auto" w:fill="auto"/>
            <w:vAlign w:val="center"/>
          </w:tcPr>
          <w:p>
            <w:pPr>
              <w:spacing w:line="360" w:lineRule="auto"/>
              <w:rPr>
                <w:rFonts w:ascii="宋体" w:hAnsi="宋体" w:eastAsia="宋体" w:cs="宋体"/>
                <w:kern w:val="0"/>
                <w:sz w:val="24"/>
                <w:szCs w:val="24"/>
              </w:rPr>
            </w:pPr>
            <w:r>
              <w:rPr>
                <w:rFonts w:hint="eastAsia" w:ascii="宋体" w:hAnsi="宋体" w:eastAsia="宋体" w:cs="宋体"/>
                <w:kern w:val="0"/>
                <w:sz w:val="24"/>
                <w:szCs w:val="24"/>
              </w:rPr>
              <w:t>1、合约类型：全责合约；</w:t>
            </w:r>
          </w:p>
          <w:p>
            <w:pPr>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2、合同期内，中标供应商每年为仪器提供预防性维护保养及校正（PM）2次，该保养的流程，首先需要对仪器进行全面拆解，而且对于核心的功能模块进行彻底的清理、调节和测量，并依照工厂标准进行量化核对。如果发现存在不符合标准的零件，将进行更换，以将仪器性能优化至最佳状态，并减少仪器故障和延长仪器使用寿命；</w:t>
            </w:r>
          </w:p>
          <w:p>
            <w:pPr>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3、无限次数工程师上门维修；</w:t>
            </w:r>
          </w:p>
          <w:p>
            <w:pPr>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4、合同期内，采购人正常使用条件下，每次发生仪器故障，由原厂工程师进行维修，所需更换的故障零件均为原厂全新配件，所有费用、工时费、差旅费全部由中标供应商承担；</w:t>
            </w:r>
          </w:p>
          <w:p>
            <w:pPr>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5、当仪器设备发生故障时，工程师需在24-48小时内到现场进行维修；</w:t>
            </w:r>
          </w:p>
          <w:p>
            <w:pPr>
              <w:spacing w:line="360" w:lineRule="auto"/>
              <w:jc w:val="left"/>
              <w:rPr>
                <w:rFonts w:ascii="宋体" w:hAnsi="宋体" w:eastAsia="宋体" w:cs="宋体"/>
                <w:sz w:val="24"/>
                <w:szCs w:val="24"/>
              </w:rPr>
            </w:pPr>
            <w:r>
              <w:rPr>
                <w:rFonts w:hint="eastAsia" w:ascii="宋体" w:hAnsi="宋体" w:eastAsia="宋体" w:cs="宋体"/>
                <w:sz w:val="24"/>
                <w:szCs w:val="24"/>
              </w:rPr>
              <w:t>6、2次/年上门预防性维护。</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432" w:type="pct"/>
            <w:tcBorders>
              <w:tl2br w:val="nil"/>
              <w:tr2bl w:val="nil"/>
            </w:tcBorders>
            <w:shd w:val="clear" w:color="auto" w:fill="auto"/>
            <w:vAlign w:val="center"/>
          </w:tcPr>
          <w:p>
            <w:pPr>
              <w:spacing w:line="360" w:lineRule="auto"/>
              <w:jc w:val="center"/>
              <w:rPr>
                <w:rFonts w:ascii="宋体" w:hAnsi="宋体" w:eastAsia="宋体" w:cs="宋体"/>
                <w:sz w:val="24"/>
                <w:szCs w:val="24"/>
              </w:rPr>
            </w:pPr>
            <w:r>
              <w:rPr>
                <w:rFonts w:hint="eastAsia" w:ascii="宋体" w:hAnsi="宋体" w:eastAsia="宋体" w:cs="宋体"/>
                <w:sz w:val="24"/>
                <w:szCs w:val="24"/>
              </w:rPr>
              <w:t>8</w:t>
            </w:r>
          </w:p>
        </w:tc>
        <w:tc>
          <w:tcPr>
            <w:tcW w:w="851" w:type="pct"/>
            <w:tcBorders>
              <w:tl2br w:val="nil"/>
              <w:tr2bl w:val="nil"/>
            </w:tcBorders>
            <w:shd w:val="clear" w:color="auto" w:fill="auto"/>
            <w:vAlign w:val="center"/>
          </w:tcPr>
          <w:p>
            <w:pPr>
              <w:spacing w:line="360" w:lineRule="auto"/>
              <w:jc w:val="center"/>
              <w:rPr>
                <w:rFonts w:ascii="宋体" w:hAnsi="宋体" w:eastAsia="宋体" w:cs="宋体"/>
                <w:sz w:val="24"/>
                <w:szCs w:val="24"/>
              </w:rPr>
            </w:pPr>
            <w:r>
              <w:rPr>
                <w:rFonts w:hint="eastAsia" w:ascii="宋体" w:hAnsi="宋体" w:eastAsia="宋体" w:cs="宋体"/>
                <w:sz w:val="24"/>
                <w:szCs w:val="24"/>
              </w:rPr>
              <w:t>ICP/MS联用仪NexION300X(Perkin Eimer公司)</w:t>
            </w:r>
          </w:p>
        </w:tc>
        <w:tc>
          <w:tcPr>
            <w:tcW w:w="483" w:type="pct"/>
            <w:tcBorders>
              <w:tl2br w:val="nil"/>
              <w:tr2bl w:val="nil"/>
            </w:tcBorders>
            <w:shd w:val="clear" w:color="auto" w:fill="auto"/>
            <w:vAlign w:val="center"/>
          </w:tcPr>
          <w:p>
            <w:pPr>
              <w:spacing w:line="360" w:lineRule="auto"/>
              <w:jc w:val="center"/>
              <w:rPr>
                <w:rFonts w:ascii="宋体" w:hAnsi="宋体" w:eastAsia="宋体" w:cs="宋体"/>
                <w:sz w:val="24"/>
                <w:szCs w:val="24"/>
              </w:rPr>
            </w:pPr>
            <w:r>
              <w:rPr>
                <w:rFonts w:hint="eastAsia" w:ascii="宋体" w:hAnsi="宋体" w:eastAsia="宋体" w:cs="宋体"/>
                <w:sz w:val="24"/>
                <w:szCs w:val="24"/>
              </w:rPr>
              <w:t>1台</w:t>
            </w:r>
          </w:p>
        </w:tc>
        <w:tc>
          <w:tcPr>
            <w:tcW w:w="3233" w:type="pct"/>
            <w:tcBorders>
              <w:tl2br w:val="nil"/>
              <w:tr2bl w:val="nil"/>
            </w:tcBorders>
            <w:shd w:val="clear" w:color="auto" w:fill="auto"/>
            <w:vAlign w:val="center"/>
          </w:tcPr>
          <w:p>
            <w:pPr>
              <w:spacing w:line="360" w:lineRule="auto"/>
              <w:rPr>
                <w:rFonts w:ascii="宋体" w:hAnsi="宋体" w:eastAsia="宋体" w:cs="宋体"/>
                <w:kern w:val="0"/>
                <w:sz w:val="24"/>
                <w:szCs w:val="24"/>
              </w:rPr>
            </w:pPr>
            <w:r>
              <w:rPr>
                <w:rFonts w:hint="eastAsia" w:ascii="宋体" w:hAnsi="宋体" w:eastAsia="宋体" w:cs="宋体"/>
                <w:kern w:val="0"/>
                <w:sz w:val="24"/>
                <w:szCs w:val="24"/>
              </w:rPr>
              <w:t>1、合约类型：全责合约；</w:t>
            </w:r>
          </w:p>
          <w:p>
            <w:pPr>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2、合同期内，中标供应商每年为仪器提供预防性维护保养及校正（PM）2次，该保养的流程，首先需要对仪器进行全面拆解，而且对于核心的功能模块进行彻底的清理、调节和测量，并依照工厂标准进行量化核对。如果发现存在不符合标准的零件，将进行更换，以将仪器性能优化至最佳状态，并减少仪器故障和延长仪器使用寿命；</w:t>
            </w:r>
          </w:p>
          <w:p>
            <w:pPr>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3、无限次数工程师上门维修；</w:t>
            </w:r>
          </w:p>
          <w:p>
            <w:pPr>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4、合同期内，采购人正常使用条件下，每次发生仪器故障，由原厂工程师进行维修，所需更换的故障零件均为原厂全新配件，所有费用、工时费、差旅费全部由中标供应商承担；</w:t>
            </w:r>
          </w:p>
          <w:p>
            <w:pPr>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5、当仪器设备发生故障时，工程师需在24-48小时内到现场进行维修；</w:t>
            </w:r>
          </w:p>
          <w:p>
            <w:pPr>
              <w:spacing w:line="360" w:lineRule="auto"/>
              <w:jc w:val="left"/>
              <w:rPr>
                <w:rFonts w:ascii="宋体" w:hAnsi="宋体" w:eastAsia="宋体" w:cs="宋体"/>
                <w:sz w:val="24"/>
                <w:szCs w:val="24"/>
              </w:rPr>
            </w:pPr>
            <w:r>
              <w:rPr>
                <w:rFonts w:hint="eastAsia" w:ascii="宋体" w:hAnsi="宋体" w:eastAsia="宋体" w:cs="宋体"/>
                <w:sz w:val="24"/>
                <w:szCs w:val="24"/>
              </w:rPr>
              <w:t>6、2次/年上门预防性维护。</w:t>
            </w:r>
          </w:p>
        </w:tc>
      </w:tr>
    </w:tbl>
    <w:p>
      <w:pPr>
        <w:widowControl/>
        <w:spacing w:line="276" w:lineRule="auto"/>
        <w:jc w:val="left"/>
        <w:textAlignment w:val="bottom"/>
        <w:rPr>
          <w:rFonts w:cs="宋体" w:asciiTheme="minorEastAsia" w:hAnsiTheme="minorEastAsia" w:eastAsiaTheme="minorEastAsia"/>
          <w:b/>
          <w:bCs/>
          <w:kern w:val="0"/>
          <w:sz w:val="24"/>
          <w:szCs w:val="24"/>
        </w:rPr>
      </w:pPr>
      <w:r>
        <w:rPr>
          <w:rFonts w:hint="eastAsia" w:cs="宋体" w:asciiTheme="minorEastAsia" w:hAnsiTheme="minorEastAsia" w:eastAsiaTheme="minorEastAsia"/>
          <w:b/>
          <w:bCs/>
          <w:kern w:val="0"/>
          <w:sz w:val="24"/>
          <w:szCs w:val="24"/>
        </w:rPr>
        <w:t>（二）服务要求</w:t>
      </w:r>
    </w:p>
    <w:p>
      <w:pPr>
        <w:numPr>
          <w:ilvl w:val="255"/>
          <w:numId w:val="0"/>
        </w:numPr>
        <w:spacing w:line="360" w:lineRule="auto"/>
        <w:ind w:firstLine="480" w:firstLineChars="200"/>
        <w:jc w:val="left"/>
        <w:rPr>
          <w:rFonts w:ascii="宋体" w:hAnsi="宋体" w:eastAsia="宋体" w:cs="宋体"/>
          <w:sz w:val="24"/>
          <w:szCs w:val="24"/>
        </w:rPr>
      </w:pPr>
      <w:r>
        <w:rPr>
          <w:rFonts w:hint="eastAsia" w:ascii="宋体" w:hAnsi="宋体" w:eastAsia="宋体" w:cs="宋体"/>
          <w:sz w:val="24"/>
          <w:szCs w:val="24"/>
        </w:rPr>
        <w:t>1、服务期内，客户正常使用条件下，每次发生仪器故障，需进行维修所需更换的故障零件费用，原厂工程师上门费、工时费、差旅费等全部由中标供应商负责。</w:t>
      </w:r>
    </w:p>
    <w:p>
      <w:pPr>
        <w:numPr>
          <w:ilvl w:val="255"/>
          <w:numId w:val="0"/>
        </w:numPr>
        <w:spacing w:line="360" w:lineRule="auto"/>
        <w:ind w:firstLine="480" w:firstLineChars="200"/>
        <w:jc w:val="left"/>
        <w:rPr>
          <w:rFonts w:ascii="宋体" w:hAnsi="宋体" w:eastAsia="宋体" w:cs="宋体"/>
          <w:sz w:val="24"/>
          <w:szCs w:val="24"/>
        </w:rPr>
      </w:pPr>
      <w:r>
        <w:rPr>
          <w:rFonts w:hint="eastAsia" w:ascii="宋体" w:hAnsi="宋体" w:eastAsia="宋体" w:cs="宋体"/>
          <w:sz w:val="24"/>
          <w:szCs w:val="24"/>
        </w:rPr>
        <w:t>2、服务期内由设备原厂工程师为每台仪器提供预防性维护保养及校正（PM）2次，该保养的流程，首先需要对仪器进行全面拆解，而且对于核心的功能模块，会进行彻底的清理、调节和测量，并依照工厂标准进行量化核对。</w:t>
      </w:r>
    </w:p>
    <w:p>
      <w:pPr>
        <w:numPr>
          <w:ilvl w:val="255"/>
          <w:numId w:val="0"/>
        </w:numPr>
        <w:spacing w:line="360" w:lineRule="auto"/>
        <w:ind w:firstLine="482" w:firstLineChars="200"/>
        <w:jc w:val="left"/>
        <w:rPr>
          <w:rFonts w:ascii="宋体" w:hAnsi="宋体" w:eastAsia="宋体" w:cs="宋体"/>
          <w:b/>
          <w:bCs/>
          <w:sz w:val="24"/>
          <w:szCs w:val="24"/>
        </w:rPr>
      </w:pPr>
      <w:r>
        <w:rPr>
          <w:rFonts w:hint="eastAsia" w:ascii="宋体" w:hAnsi="宋体" w:eastAsia="宋体" w:cs="宋体"/>
          <w:b/>
          <w:bCs/>
          <w:sz w:val="24"/>
          <w:szCs w:val="24"/>
        </w:rPr>
        <w:t>证明文件：中标人承诺中标后更换或升级的配件、软件等，保证原厂正品。（中标人提供承诺函，格式自拟）</w:t>
      </w:r>
    </w:p>
    <w:p>
      <w:pPr>
        <w:numPr>
          <w:ilvl w:val="255"/>
          <w:numId w:val="0"/>
        </w:numPr>
        <w:spacing w:line="360" w:lineRule="auto"/>
        <w:ind w:firstLine="480" w:firstLineChars="200"/>
        <w:jc w:val="left"/>
        <w:rPr>
          <w:rFonts w:ascii="宋体" w:hAnsi="宋体" w:eastAsia="宋体" w:cs="宋体"/>
          <w:sz w:val="24"/>
          <w:szCs w:val="24"/>
        </w:rPr>
      </w:pPr>
      <w:r>
        <w:rPr>
          <w:rFonts w:hint="eastAsia" w:ascii="宋体" w:hAnsi="宋体" w:eastAsia="宋体" w:cs="宋体"/>
          <w:sz w:val="24"/>
          <w:szCs w:val="24"/>
        </w:rPr>
        <w:t>3、如果发现存在不符合标准的零件，将进行更换，以将仪器性能优化至最佳状态，并减少仪器故障和延长仪器使用寿命。</w:t>
      </w:r>
    </w:p>
    <w:p>
      <w:pPr>
        <w:numPr>
          <w:ilvl w:val="255"/>
          <w:numId w:val="0"/>
        </w:numPr>
        <w:spacing w:line="360" w:lineRule="auto"/>
        <w:ind w:firstLine="480" w:firstLineChars="200"/>
        <w:jc w:val="left"/>
        <w:rPr>
          <w:rFonts w:ascii="宋体" w:hAnsi="宋体" w:eastAsia="宋体" w:cs="宋体"/>
          <w:sz w:val="24"/>
          <w:szCs w:val="24"/>
        </w:rPr>
      </w:pPr>
      <w:r>
        <w:rPr>
          <w:rFonts w:hint="eastAsia" w:ascii="宋体" w:hAnsi="宋体" w:eastAsia="宋体" w:cs="宋体"/>
          <w:sz w:val="24"/>
          <w:szCs w:val="24"/>
        </w:rPr>
        <w:t>4、电话热线服务：服务时间为7*24小时及时响应。</w:t>
      </w:r>
    </w:p>
    <w:p>
      <w:pPr>
        <w:numPr>
          <w:ilvl w:val="255"/>
          <w:numId w:val="0"/>
        </w:numPr>
        <w:spacing w:line="360" w:lineRule="auto"/>
        <w:ind w:firstLine="480" w:firstLineChars="200"/>
        <w:jc w:val="left"/>
        <w:rPr>
          <w:rFonts w:ascii="宋体" w:hAnsi="宋体" w:eastAsia="宋体" w:cs="宋体"/>
          <w:sz w:val="24"/>
          <w:szCs w:val="24"/>
        </w:rPr>
      </w:pPr>
      <w:r>
        <w:rPr>
          <w:rFonts w:hint="eastAsia" w:ascii="宋体" w:hAnsi="宋体" w:eastAsia="宋体" w:cs="宋体"/>
          <w:sz w:val="24"/>
          <w:szCs w:val="24"/>
        </w:rPr>
        <w:t>5、对仪器列表中所有仪器提供维修维护服务：全年保修的仪器，包含所有工时及备件。</w:t>
      </w:r>
    </w:p>
    <w:p>
      <w:pPr>
        <w:numPr>
          <w:ilvl w:val="255"/>
          <w:numId w:val="0"/>
        </w:numPr>
        <w:spacing w:line="360" w:lineRule="auto"/>
        <w:ind w:firstLine="480" w:firstLineChars="200"/>
        <w:jc w:val="left"/>
        <w:rPr>
          <w:rFonts w:ascii="宋体" w:hAnsi="宋体" w:eastAsia="宋体" w:cs="宋体"/>
          <w:sz w:val="24"/>
          <w:szCs w:val="24"/>
        </w:rPr>
      </w:pPr>
      <w:r>
        <w:rPr>
          <w:rFonts w:hint="eastAsia" w:ascii="宋体" w:hAnsi="宋体" w:eastAsia="宋体" w:cs="宋体"/>
          <w:sz w:val="24"/>
          <w:szCs w:val="24"/>
        </w:rPr>
        <w:t>5.1远程技术支持：用户可以在仪器出现问题的第一时间拨打客服电话得到专属在线工程师的技术援助。在线工程师通过远程指导帮助用户解决仪器问题，或判断仪器故障。</w:t>
      </w:r>
    </w:p>
    <w:p>
      <w:pPr>
        <w:numPr>
          <w:ilvl w:val="255"/>
          <w:numId w:val="0"/>
        </w:numPr>
        <w:spacing w:line="360" w:lineRule="auto"/>
        <w:ind w:firstLine="480" w:firstLineChars="200"/>
        <w:jc w:val="left"/>
        <w:rPr>
          <w:rFonts w:ascii="宋体" w:hAnsi="宋体" w:eastAsia="宋体" w:cs="宋体"/>
          <w:sz w:val="24"/>
          <w:szCs w:val="24"/>
        </w:rPr>
      </w:pPr>
      <w:r>
        <w:rPr>
          <w:rFonts w:hint="eastAsia" w:ascii="宋体" w:hAnsi="宋体" w:eastAsia="宋体" w:cs="宋体"/>
          <w:sz w:val="24"/>
          <w:szCs w:val="24"/>
        </w:rPr>
        <w:t>5.2专属调度员：为客户的整包服务调拨专职调度员，协调和保障人力和物力资源。</w:t>
      </w:r>
    </w:p>
    <w:p>
      <w:pPr>
        <w:numPr>
          <w:ilvl w:val="255"/>
          <w:numId w:val="0"/>
        </w:numPr>
        <w:spacing w:line="360" w:lineRule="auto"/>
        <w:ind w:firstLine="480" w:firstLineChars="200"/>
        <w:jc w:val="left"/>
        <w:rPr>
          <w:rFonts w:ascii="宋体" w:hAnsi="宋体" w:eastAsia="宋体" w:cs="宋体"/>
          <w:sz w:val="24"/>
          <w:szCs w:val="24"/>
        </w:rPr>
      </w:pPr>
      <w:r>
        <w:rPr>
          <w:rFonts w:hint="eastAsia" w:ascii="宋体" w:hAnsi="宋体" w:eastAsia="宋体" w:cs="宋体"/>
          <w:sz w:val="24"/>
          <w:szCs w:val="24"/>
        </w:rPr>
        <w:t>5.3 专属核心仪器工程师：指派专属核心仪器工程师负责仪器设备的维修工作，保证工作的连续性。用户可拨打专属调度员或工程师电话报修，工程师1小时响应并到现场检查并维修。如果工程师8小时内无法解决问题，专属核心仪器工程师将在仪器报修后二个工作日内到达现场排除故障。</w:t>
      </w:r>
    </w:p>
    <w:p>
      <w:pPr>
        <w:numPr>
          <w:ilvl w:val="255"/>
          <w:numId w:val="0"/>
        </w:numPr>
        <w:spacing w:line="360" w:lineRule="auto"/>
        <w:ind w:firstLine="480" w:firstLineChars="200"/>
        <w:jc w:val="left"/>
        <w:rPr>
          <w:rFonts w:ascii="宋体" w:hAnsi="宋体" w:eastAsia="宋体" w:cs="宋体"/>
          <w:sz w:val="24"/>
          <w:szCs w:val="24"/>
        </w:rPr>
      </w:pPr>
      <w:r>
        <w:rPr>
          <w:rFonts w:hint="eastAsia" w:ascii="宋体" w:hAnsi="宋体" w:eastAsia="宋体" w:cs="宋体"/>
          <w:sz w:val="24"/>
          <w:szCs w:val="24"/>
        </w:rPr>
        <w:t>5.4 专属售后服务执行经理：负责协调解决在服务过程中出现的任何问题。</w:t>
      </w:r>
    </w:p>
    <w:p>
      <w:pPr>
        <w:numPr>
          <w:ilvl w:val="255"/>
          <w:numId w:val="0"/>
        </w:numPr>
        <w:spacing w:line="360" w:lineRule="auto"/>
        <w:ind w:firstLine="480" w:firstLineChars="200"/>
        <w:jc w:val="left"/>
        <w:rPr>
          <w:rFonts w:ascii="宋体" w:hAnsi="宋体" w:eastAsia="宋体" w:cs="宋体"/>
          <w:sz w:val="24"/>
          <w:szCs w:val="24"/>
        </w:rPr>
      </w:pPr>
      <w:r>
        <w:rPr>
          <w:rFonts w:hint="eastAsia" w:ascii="宋体" w:hAnsi="宋体" w:eastAsia="宋体" w:cs="宋体"/>
          <w:sz w:val="24"/>
          <w:szCs w:val="24"/>
        </w:rPr>
        <w:t>6、维修服务方式</w:t>
      </w:r>
    </w:p>
    <w:p>
      <w:pPr>
        <w:numPr>
          <w:ilvl w:val="255"/>
          <w:numId w:val="0"/>
        </w:numPr>
        <w:spacing w:line="360" w:lineRule="auto"/>
        <w:ind w:firstLine="480" w:firstLineChars="200"/>
        <w:jc w:val="left"/>
        <w:rPr>
          <w:rFonts w:ascii="宋体" w:hAnsi="宋体" w:eastAsia="宋体" w:cs="宋体"/>
          <w:sz w:val="24"/>
          <w:szCs w:val="24"/>
        </w:rPr>
      </w:pPr>
      <w:r>
        <w:rPr>
          <w:rFonts w:hint="eastAsia" w:ascii="宋体" w:hAnsi="宋体" w:eastAsia="宋体" w:cs="宋体"/>
          <w:sz w:val="24"/>
          <w:szCs w:val="24"/>
        </w:rPr>
        <w:t>维修方式针对精密仪器和通用仪器有所侧重。</w:t>
      </w:r>
    </w:p>
    <w:p>
      <w:pPr>
        <w:numPr>
          <w:ilvl w:val="255"/>
          <w:numId w:val="0"/>
        </w:numPr>
        <w:spacing w:line="360" w:lineRule="auto"/>
        <w:ind w:firstLine="480" w:firstLineChars="200"/>
        <w:jc w:val="left"/>
        <w:rPr>
          <w:rFonts w:ascii="宋体" w:hAnsi="宋体" w:eastAsia="宋体" w:cs="宋体"/>
          <w:sz w:val="24"/>
          <w:szCs w:val="24"/>
        </w:rPr>
      </w:pPr>
      <w:r>
        <w:rPr>
          <w:rFonts w:hint="eastAsia" w:ascii="宋体" w:hAnsi="宋体" w:eastAsia="宋体" w:cs="宋体"/>
          <w:sz w:val="24"/>
          <w:szCs w:val="24"/>
        </w:rPr>
        <w:t>6.1 优势维修服务</w:t>
      </w:r>
    </w:p>
    <w:p>
      <w:pPr>
        <w:numPr>
          <w:ilvl w:val="255"/>
          <w:numId w:val="0"/>
        </w:numPr>
        <w:spacing w:line="360" w:lineRule="auto"/>
        <w:ind w:firstLine="480" w:firstLineChars="200"/>
        <w:jc w:val="left"/>
        <w:rPr>
          <w:rFonts w:ascii="宋体" w:hAnsi="宋体" w:eastAsia="宋体" w:cs="宋体"/>
          <w:sz w:val="24"/>
          <w:szCs w:val="24"/>
        </w:rPr>
      </w:pPr>
      <w:r>
        <w:rPr>
          <w:rFonts w:hint="eastAsia" w:ascii="宋体" w:hAnsi="宋体" w:eastAsia="宋体" w:cs="宋体"/>
          <w:sz w:val="24"/>
          <w:szCs w:val="24"/>
        </w:rPr>
        <w:t>此服务针对购买了全年保修的仪器。优先响应时间；合同期内，仪器出现任何硬件故障，驻场工程师1小时响应并到现场检查并维修。如果工程师8小时内无法解决问题，核心产品工程师会在二个工作日内到现场排除故障。服务包含全年维修仪器所需的上门费、工时费、备件费、差旅费。</w:t>
      </w:r>
    </w:p>
    <w:p>
      <w:pPr>
        <w:numPr>
          <w:ilvl w:val="255"/>
          <w:numId w:val="0"/>
        </w:numPr>
        <w:spacing w:line="360" w:lineRule="auto"/>
        <w:ind w:firstLine="480" w:firstLineChars="200"/>
        <w:jc w:val="left"/>
        <w:rPr>
          <w:rFonts w:ascii="宋体" w:hAnsi="宋体" w:eastAsia="宋体" w:cs="宋体"/>
          <w:sz w:val="24"/>
          <w:szCs w:val="24"/>
        </w:rPr>
      </w:pPr>
      <w:r>
        <w:rPr>
          <w:rFonts w:hint="eastAsia" w:ascii="宋体" w:hAnsi="宋体" w:eastAsia="宋体" w:cs="宋体"/>
          <w:sz w:val="24"/>
          <w:szCs w:val="24"/>
        </w:rPr>
        <w:t>6.2 维修服务</w:t>
      </w:r>
    </w:p>
    <w:p>
      <w:pPr>
        <w:numPr>
          <w:ilvl w:val="255"/>
          <w:numId w:val="0"/>
        </w:numPr>
        <w:spacing w:line="360" w:lineRule="auto"/>
        <w:ind w:firstLine="480" w:firstLineChars="200"/>
        <w:jc w:val="left"/>
        <w:rPr>
          <w:rFonts w:ascii="宋体" w:hAnsi="宋体" w:eastAsia="宋体" w:cs="宋体"/>
          <w:sz w:val="24"/>
          <w:szCs w:val="24"/>
        </w:rPr>
      </w:pPr>
      <w:r>
        <w:rPr>
          <w:rFonts w:hint="eastAsia" w:ascii="宋体" w:hAnsi="宋体" w:eastAsia="宋体" w:cs="宋体"/>
          <w:sz w:val="24"/>
          <w:szCs w:val="24"/>
        </w:rPr>
        <w:t>此服务针对仪器列表中的所有仪器。优先响应时间；合同期内，仪器出现任何硬件故障，驻场工程师1小时响应并到现场检查并维修。如果工程师8小时内无法解决问题，核心产品工程师会在二个工作日内到现场排除故障。</w:t>
      </w:r>
    </w:p>
    <w:p>
      <w:pPr>
        <w:numPr>
          <w:ilvl w:val="255"/>
          <w:numId w:val="0"/>
        </w:numPr>
        <w:spacing w:line="360" w:lineRule="auto"/>
        <w:ind w:firstLine="480" w:firstLineChars="200"/>
        <w:jc w:val="left"/>
        <w:rPr>
          <w:rFonts w:ascii="宋体" w:hAnsi="宋体" w:eastAsia="宋体" w:cs="宋体"/>
          <w:sz w:val="24"/>
          <w:szCs w:val="24"/>
        </w:rPr>
      </w:pPr>
      <w:r>
        <w:rPr>
          <w:rFonts w:hint="eastAsia" w:ascii="宋体" w:hAnsi="宋体" w:eastAsia="宋体" w:cs="宋体"/>
          <w:sz w:val="24"/>
          <w:szCs w:val="24"/>
        </w:rPr>
        <w:t>7、KPI指标（Key performance indicator）</w:t>
      </w:r>
    </w:p>
    <w:p>
      <w:pPr>
        <w:numPr>
          <w:ilvl w:val="255"/>
          <w:numId w:val="0"/>
        </w:numPr>
        <w:spacing w:line="360" w:lineRule="auto"/>
        <w:ind w:firstLine="480" w:firstLineChars="200"/>
        <w:jc w:val="left"/>
        <w:rPr>
          <w:rFonts w:ascii="宋体" w:hAnsi="宋体" w:eastAsia="宋体" w:cs="宋体"/>
          <w:sz w:val="24"/>
          <w:szCs w:val="24"/>
        </w:rPr>
      </w:pPr>
      <w:r>
        <w:rPr>
          <w:rFonts w:hint="eastAsia" w:ascii="宋体" w:hAnsi="宋体" w:eastAsia="宋体" w:cs="宋体"/>
          <w:sz w:val="24"/>
          <w:szCs w:val="24"/>
        </w:rPr>
        <w:t>7.1 在用户电话报修后保证两小时内由工程师电话响应或到达用户现场。</w:t>
      </w:r>
    </w:p>
    <w:p>
      <w:pPr>
        <w:numPr>
          <w:ilvl w:val="255"/>
          <w:numId w:val="0"/>
        </w:numPr>
        <w:spacing w:line="360" w:lineRule="auto"/>
        <w:ind w:firstLine="480" w:firstLineChars="200"/>
        <w:jc w:val="left"/>
        <w:rPr>
          <w:rFonts w:ascii="宋体" w:hAnsi="宋体" w:eastAsia="宋体" w:cs="宋体"/>
          <w:sz w:val="24"/>
          <w:szCs w:val="24"/>
        </w:rPr>
      </w:pPr>
      <w:r>
        <w:rPr>
          <w:rFonts w:hint="eastAsia" w:ascii="宋体" w:hAnsi="宋体" w:eastAsia="宋体" w:cs="宋体"/>
          <w:sz w:val="24"/>
          <w:szCs w:val="24"/>
        </w:rPr>
        <w:t>响应时间＜1小时。</w:t>
      </w:r>
    </w:p>
    <w:p>
      <w:pPr>
        <w:numPr>
          <w:ilvl w:val="255"/>
          <w:numId w:val="0"/>
        </w:numPr>
        <w:spacing w:line="360" w:lineRule="auto"/>
        <w:ind w:firstLine="480" w:firstLineChars="200"/>
        <w:jc w:val="left"/>
        <w:rPr>
          <w:rFonts w:ascii="宋体" w:hAnsi="宋体" w:eastAsia="宋体" w:cs="宋体"/>
          <w:sz w:val="24"/>
          <w:szCs w:val="24"/>
        </w:rPr>
      </w:pPr>
      <w:r>
        <w:rPr>
          <w:rFonts w:hint="eastAsia" w:ascii="宋体" w:hAnsi="宋体" w:eastAsia="宋体" w:cs="宋体"/>
          <w:sz w:val="24"/>
          <w:szCs w:val="24"/>
        </w:rPr>
        <w:t>7.2 对于核心仪器的维修将在核心工程师到现场后的2个工作日内完成，停机时间(核心仪器)≤2工作日。</w:t>
      </w:r>
    </w:p>
    <w:p>
      <w:pPr>
        <w:numPr>
          <w:ilvl w:val="255"/>
          <w:numId w:val="0"/>
        </w:numPr>
        <w:spacing w:line="360" w:lineRule="auto"/>
        <w:ind w:firstLine="480" w:firstLineChars="200"/>
        <w:jc w:val="left"/>
        <w:rPr>
          <w:rFonts w:ascii="宋体" w:hAnsi="宋体" w:eastAsia="宋体" w:cs="宋体"/>
          <w:sz w:val="24"/>
          <w:szCs w:val="24"/>
        </w:rPr>
      </w:pPr>
      <w:r>
        <w:rPr>
          <w:rFonts w:hint="eastAsia" w:ascii="宋体" w:hAnsi="宋体" w:eastAsia="宋体" w:cs="宋体"/>
          <w:sz w:val="24"/>
          <w:szCs w:val="24"/>
        </w:rPr>
        <w:t>8、分析仪器的特定维护服务</w:t>
      </w:r>
    </w:p>
    <w:p>
      <w:pPr>
        <w:numPr>
          <w:ilvl w:val="255"/>
          <w:numId w:val="0"/>
        </w:numPr>
        <w:spacing w:line="360" w:lineRule="auto"/>
        <w:ind w:firstLine="480" w:firstLineChars="200"/>
        <w:jc w:val="left"/>
        <w:rPr>
          <w:rFonts w:ascii="宋体" w:hAnsi="宋体" w:eastAsia="宋体" w:cs="宋体"/>
          <w:sz w:val="24"/>
          <w:szCs w:val="24"/>
        </w:rPr>
      </w:pPr>
      <w:r>
        <w:rPr>
          <w:rFonts w:hint="eastAsia" w:ascii="宋体" w:hAnsi="宋体" w:eastAsia="宋体" w:cs="宋体"/>
          <w:sz w:val="24"/>
          <w:szCs w:val="24"/>
        </w:rPr>
        <w:t>要保证仪器的长期稳定运行，有计划的，周期性的预防性维护工作必不可少。在所有需要工程师上门的维修中，相当一部分是由于对于易磨损部件没有及时更换造成，这类所谓的仪器故障，以及仪器停机带来的损失和工程师上门维修所产生的成本，都可以通过事先的、有计划性的仪器维护来避免。提供仪器预防性维护服务，能够及时更换仪器上的易磨损的部件和消耗品，有效降低仪器的故障率和停机时间。</w:t>
      </w:r>
    </w:p>
    <w:p>
      <w:pPr>
        <w:numPr>
          <w:ilvl w:val="255"/>
          <w:numId w:val="0"/>
        </w:numPr>
        <w:spacing w:line="360" w:lineRule="auto"/>
        <w:ind w:firstLine="480" w:firstLineChars="200"/>
        <w:jc w:val="left"/>
        <w:rPr>
          <w:rFonts w:ascii="宋体" w:hAnsi="宋体" w:eastAsia="宋体" w:cs="宋体"/>
          <w:sz w:val="24"/>
          <w:szCs w:val="24"/>
        </w:rPr>
      </w:pPr>
      <w:r>
        <w:rPr>
          <w:rFonts w:hint="eastAsia" w:ascii="宋体" w:hAnsi="宋体" w:eastAsia="宋体" w:cs="宋体"/>
          <w:sz w:val="24"/>
          <w:szCs w:val="24"/>
        </w:rPr>
        <w:t>9、现场服务所用零部件均为新部件，所换下的部件由仪器公司维保工程师带回统一处理。</w:t>
      </w:r>
    </w:p>
    <w:p>
      <w:pPr>
        <w:pStyle w:val="5"/>
        <w:spacing w:beforeLines="100" w:after="0"/>
        <w:rPr>
          <w:rFonts w:hAnsi="宋体"/>
        </w:rPr>
      </w:pPr>
      <w:bookmarkStart w:id="82" w:name="_Toc14914"/>
      <w:bookmarkStart w:id="83" w:name="_Toc67411751"/>
      <w:bookmarkStart w:id="84" w:name="_Toc10406"/>
      <w:bookmarkStart w:id="85" w:name="_Toc12563"/>
      <w:bookmarkStart w:id="86" w:name="_Toc68769475"/>
      <w:r>
        <w:rPr>
          <w:rFonts w:hint="eastAsia" w:hAnsi="宋体"/>
        </w:rPr>
        <w:t>三、商务要求</w:t>
      </w:r>
      <w:bookmarkEnd w:id="82"/>
    </w:p>
    <w:bookmarkEnd w:id="83"/>
    <w:bookmarkEnd w:id="84"/>
    <w:bookmarkEnd w:id="85"/>
    <w:bookmarkEnd w:id="86"/>
    <w:tbl>
      <w:tblPr>
        <w:tblStyle w:val="24"/>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6"/>
        <w:gridCol w:w="1708"/>
        <w:gridCol w:w="59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 w:type="pct"/>
            <w:vAlign w:val="center"/>
          </w:tcPr>
          <w:p>
            <w:pPr>
              <w:spacing w:line="360" w:lineRule="auto"/>
              <w:jc w:val="center"/>
              <w:rPr>
                <w:rFonts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序号</w:t>
            </w:r>
          </w:p>
        </w:tc>
        <w:tc>
          <w:tcPr>
            <w:tcW w:w="1025" w:type="pct"/>
            <w:vAlign w:val="center"/>
          </w:tcPr>
          <w:p>
            <w:pPr>
              <w:spacing w:line="360" w:lineRule="auto"/>
              <w:jc w:val="center"/>
              <w:rPr>
                <w:rFonts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商务条款</w:t>
            </w:r>
          </w:p>
        </w:tc>
        <w:tc>
          <w:tcPr>
            <w:tcW w:w="3550" w:type="pct"/>
            <w:vAlign w:val="center"/>
          </w:tcPr>
          <w:p>
            <w:pPr>
              <w:spacing w:line="360" w:lineRule="auto"/>
              <w:jc w:val="center"/>
              <w:rPr>
                <w:rFonts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 w:type="pct"/>
            <w:vAlign w:val="center"/>
          </w:tcPr>
          <w:p>
            <w:pPr>
              <w:spacing w:line="360" w:lineRule="auto"/>
              <w:jc w:val="center"/>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1</w:t>
            </w:r>
          </w:p>
        </w:tc>
        <w:tc>
          <w:tcPr>
            <w:tcW w:w="1025" w:type="pct"/>
            <w:vAlign w:val="center"/>
          </w:tcPr>
          <w:p>
            <w:pPr>
              <w:spacing w:line="360" w:lineRule="auto"/>
              <w:jc w:val="center"/>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服务期限</w:t>
            </w:r>
          </w:p>
        </w:tc>
        <w:tc>
          <w:tcPr>
            <w:tcW w:w="3550" w:type="pct"/>
            <w:vAlign w:val="center"/>
          </w:tcPr>
          <w:p>
            <w:pPr>
              <w:spacing w:line="360" w:lineRule="auto"/>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本项目服务期限为12个月,以合同约定的开始及结束时间为准。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 w:type="pct"/>
            <w:vAlign w:val="center"/>
          </w:tcPr>
          <w:p>
            <w:pPr>
              <w:spacing w:line="360" w:lineRule="auto"/>
              <w:jc w:val="center"/>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2</w:t>
            </w:r>
          </w:p>
        </w:tc>
        <w:tc>
          <w:tcPr>
            <w:tcW w:w="1025" w:type="pct"/>
            <w:vAlign w:val="center"/>
          </w:tcPr>
          <w:p>
            <w:pPr>
              <w:spacing w:line="360" w:lineRule="auto"/>
              <w:jc w:val="center"/>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项目服务地点</w:t>
            </w:r>
          </w:p>
        </w:tc>
        <w:tc>
          <w:tcPr>
            <w:tcW w:w="3550" w:type="pct"/>
            <w:vAlign w:val="center"/>
          </w:tcPr>
          <w:p>
            <w:pPr>
              <w:spacing w:line="360" w:lineRule="auto"/>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采购人指定的地点。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 w:type="pct"/>
            <w:vAlign w:val="center"/>
          </w:tcPr>
          <w:p>
            <w:pPr>
              <w:spacing w:line="360" w:lineRule="auto"/>
              <w:jc w:val="center"/>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3</w:t>
            </w:r>
          </w:p>
        </w:tc>
        <w:tc>
          <w:tcPr>
            <w:tcW w:w="1025" w:type="pct"/>
            <w:vAlign w:val="center"/>
          </w:tcPr>
          <w:p>
            <w:pPr>
              <w:spacing w:line="360" w:lineRule="auto"/>
              <w:jc w:val="center"/>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报价要求</w:t>
            </w:r>
          </w:p>
        </w:tc>
        <w:tc>
          <w:tcPr>
            <w:tcW w:w="3550" w:type="pct"/>
            <w:vAlign w:val="center"/>
          </w:tcPr>
          <w:p>
            <w:pPr>
              <w:spacing w:line="360" w:lineRule="auto"/>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本项目服务费采用包干制，包括但不限于项目服务成本、法定税费和企业利润等一切费用。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 w:type="pct"/>
            <w:vAlign w:val="center"/>
          </w:tcPr>
          <w:p>
            <w:pPr>
              <w:spacing w:line="360" w:lineRule="auto"/>
              <w:jc w:val="center"/>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4</w:t>
            </w:r>
          </w:p>
        </w:tc>
        <w:tc>
          <w:tcPr>
            <w:tcW w:w="1025" w:type="pct"/>
            <w:vAlign w:val="center"/>
          </w:tcPr>
          <w:p>
            <w:pPr>
              <w:spacing w:line="360" w:lineRule="auto"/>
              <w:jc w:val="center"/>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验收要求</w:t>
            </w:r>
          </w:p>
        </w:tc>
        <w:tc>
          <w:tcPr>
            <w:tcW w:w="3550" w:type="pct"/>
            <w:vAlign w:val="center"/>
          </w:tcPr>
          <w:p>
            <w:pPr>
              <w:tabs>
                <w:tab w:val="right" w:pos="709"/>
              </w:tabs>
              <w:spacing w:line="360" w:lineRule="auto"/>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1、中标供应商须按照采购人要求做好理化检验设备维保服务等各项工作。</w:t>
            </w:r>
          </w:p>
          <w:p>
            <w:pPr>
              <w:tabs>
                <w:tab w:val="right" w:pos="709"/>
              </w:tabs>
              <w:spacing w:line="360" w:lineRule="auto"/>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2、合同结束后，参照例行维护项目内容，对1年合同期内维保服务进行验收。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 w:type="pct"/>
            <w:vAlign w:val="center"/>
          </w:tcPr>
          <w:p>
            <w:pPr>
              <w:spacing w:line="360" w:lineRule="auto"/>
              <w:jc w:val="center"/>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5</w:t>
            </w:r>
          </w:p>
        </w:tc>
        <w:tc>
          <w:tcPr>
            <w:tcW w:w="1025" w:type="pct"/>
            <w:vAlign w:val="center"/>
          </w:tcPr>
          <w:p>
            <w:pPr>
              <w:spacing w:line="360" w:lineRule="auto"/>
              <w:jc w:val="center"/>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付款方式</w:t>
            </w:r>
          </w:p>
        </w:tc>
        <w:tc>
          <w:tcPr>
            <w:tcW w:w="3550" w:type="pct"/>
            <w:vAlign w:val="center"/>
          </w:tcPr>
          <w:p>
            <w:pPr>
              <w:spacing w:line="360" w:lineRule="auto"/>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（1）签订合同后30个工作日内采购人支付中标供应商合同总价金额的70%；</w:t>
            </w:r>
            <w:r>
              <w:rPr>
                <w:rFonts w:hint="eastAsia" w:asciiTheme="majorEastAsia" w:hAnsiTheme="majorEastAsia" w:eastAsiaTheme="majorEastAsia" w:cstheme="majorEastAsia"/>
                <w:sz w:val="24"/>
                <w:szCs w:val="24"/>
              </w:rPr>
              <w:br w:type="textWrapping"/>
            </w:r>
            <w:r>
              <w:rPr>
                <w:rFonts w:hint="eastAsia" w:asciiTheme="majorEastAsia" w:hAnsiTheme="majorEastAsia" w:eastAsiaTheme="majorEastAsia" w:cstheme="majorEastAsia"/>
                <w:sz w:val="24"/>
                <w:szCs w:val="24"/>
              </w:rPr>
              <w:t>（2）在服务期6个月内再支付合同总价金额的25%，合同期满通过验收合格后30个工作日内再支付合同总价金额的5%。</w:t>
            </w:r>
            <w:r>
              <w:rPr>
                <w:rFonts w:hint="eastAsia" w:asciiTheme="majorEastAsia" w:hAnsiTheme="majorEastAsia" w:eastAsiaTheme="majorEastAsia" w:cstheme="majorEastAsia"/>
                <w:sz w:val="24"/>
                <w:szCs w:val="24"/>
              </w:rPr>
              <w:br w:type="textWrapping"/>
            </w:r>
            <w:r>
              <w:rPr>
                <w:rFonts w:hint="eastAsia" w:asciiTheme="majorEastAsia" w:hAnsiTheme="majorEastAsia" w:eastAsiaTheme="majorEastAsia" w:cstheme="majorEastAsia"/>
                <w:sz w:val="24"/>
                <w:szCs w:val="24"/>
              </w:rPr>
              <w:t>因财政资金未能及时拨付到位导致采购人无法按时支付相应价款给中标供应商，中标供应商表示谅解，并同意不视为采购人违约，不由此追究采购人的违约责任。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 w:type="pct"/>
            <w:vAlign w:val="center"/>
          </w:tcPr>
          <w:p>
            <w:pPr>
              <w:spacing w:line="360" w:lineRule="auto"/>
              <w:jc w:val="center"/>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6</w:t>
            </w:r>
          </w:p>
        </w:tc>
        <w:tc>
          <w:tcPr>
            <w:tcW w:w="1025" w:type="pct"/>
            <w:vAlign w:val="center"/>
          </w:tcPr>
          <w:p>
            <w:pPr>
              <w:spacing w:line="360" w:lineRule="auto"/>
              <w:jc w:val="center"/>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付款要求</w:t>
            </w:r>
          </w:p>
        </w:tc>
        <w:tc>
          <w:tcPr>
            <w:tcW w:w="3550" w:type="pct"/>
            <w:vAlign w:val="center"/>
          </w:tcPr>
          <w:p>
            <w:pPr>
              <w:spacing w:line="360" w:lineRule="auto"/>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收款方、出具发票方、合同乙方均必须与中标供应商名称一致。中标供应商应当提前至少10个工作日向采购人申请付款，且必须附上相应的发票。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 w:type="pct"/>
            <w:vAlign w:val="center"/>
          </w:tcPr>
          <w:p>
            <w:pPr>
              <w:spacing w:line="360" w:lineRule="auto"/>
              <w:jc w:val="center"/>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7</w:t>
            </w:r>
          </w:p>
        </w:tc>
        <w:tc>
          <w:tcPr>
            <w:tcW w:w="1025" w:type="pct"/>
            <w:vAlign w:val="center"/>
          </w:tcPr>
          <w:p>
            <w:pPr>
              <w:spacing w:line="360" w:lineRule="auto"/>
              <w:jc w:val="center"/>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违约金</w:t>
            </w:r>
          </w:p>
        </w:tc>
        <w:tc>
          <w:tcPr>
            <w:tcW w:w="3550" w:type="pct"/>
            <w:vAlign w:val="center"/>
          </w:tcPr>
          <w:p>
            <w:pPr>
              <w:tabs>
                <w:tab w:val="right" w:pos="709"/>
              </w:tabs>
              <w:spacing w:line="360" w:lineRule="auto"/>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中标供应商如未能按竞价文件要求完成本项目的相关工作，履约评价为差的视为违约，违约金不得低于合同总金额的5%。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 w:type="pct"/>
            <w:vAlign w:val="center"/>
          </w:tcPr>
          <w:p>
            <w:pPr>
              <w:spacing w:line="360" w:lineRule="auto"/>
              <w:jc w:val="center"/>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8</w:t>
            </w:r>
          </w:p>
        </w:tc>
        <w:tc>
          <w:tcPr>
            <w:tcW w:w="1025" w:type="pct"/>
            <w:vAlign w:val="center"/>
          </w:tcPr>
          <w:p>
            <w:pPr>
              <w:spacing w:line="360" w:lineRule="auto"/>
              <w:jc w:val="center"/>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售后服务要求</w:t>
            </w:r>
          </w:p>
        </w:tc>
        <w:tc>
          <w:tcPr>
            <w:tcW w:w="3550" w:type="pct"/>
            <w:vAlign w:val="center"/>
          </w:tcPr>
          <w:p>
            <w:pPr>
              <w:spacing w:line="360" w:lineRule="auto"/>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每项服务要求按具体的服务内容执行。</w:t>
            </w:r>
          </w:p>
        </w:tc>
      </w:tr>
    </w:tbl>
    <w:p>
      <w:pPr>
        <w:pStyle w:val="4"/>
        <w:numPr>
          <w:ilvl w:val="255"/>
          <w:numId w:val="0"/>
        </w:numPr>
        <w:rPr>
          <w:rFonts w:ascii="宋体" w:hAnsi="宋体"/>
          <w:sz w:val="44"/>
          <w:szCs w:val="32"/>
        </w:rPr>
      </w:pPr>
      <w:r>
        <w:rPr>
          <w:rFonts w:hint="eastAsia" w:ascii="宋体" w:hAnsi="宋体"/>
          <w:kern w:val="2"/>
          <w:szCs w:val="24"/>
        </w:rPr>
        <w:br w:type="page"/>
      </w:r>
      <w:bookmarkEnd w:id="75"/>
      <w:bookmarkEnd w:id="76"/>
      <w:bookmarkEnd w:id="77"/>
      <w:bookmarkEnd w:id="78"/>
      <w:bookmarkStart w:id="87" w:name="_Toc68769476"/>
      <w:bookmarkStart w:id="88" w:name="_Toc21367"/>
      <w:bookmarkStart w:id="89" w:name="_Toc26515"/>
      <w:bookmarkStart w:id="90" w:name="_Toc23123"/>
      <w:r>
        <w:rPr>
          <w:rFonts w:hint="eastAsia" w:ascii="宋体" w:hAnsi="宋体"/>
          <w:sz w:val="44"/>
          <w:szCs w:val="32"/>
        </w:rPr>
        <w:t>第三章  竞价应答文件</w:t>
      </w:r>
      <w:bookmarkEnd w:id="87"/>
      <w:r>
        <w:rPr>
          <w:rFonts w:hint="eastAsia" w:ascii="宋体" w:hAnsi="宋体"/>
          <w:sz w:val="44"/>
          <w:szCs w:val="32"/>
        </w:rPr>
        <w:t>（格式）</w:t>
      </w:r>
      <w:bookmarkEnd w:id="88"/>
      <w:bookmarkEnd w:id="89"/>
      <w:bookmarkEnd w:id="90"/>
    </w:p>
    <w:p>
      <w:pPr>
        <w:jc w:val="center"/>
        <w:rPr>
          <w:rFonts w:ascii="宋体" w:hAnsi="宋体" w:cs="Arial"/>
          <w:b/>
          <w:bCs/>
          <w:sz w:val="52"/>
          <w:szCs w:val="52"/>
        </w:rPr>
      </w:pPr>
    </w:p>
    <w:p>
      <w:pPr>
        <w:jc w:val="center"/>
        <w:rPr>
          <w:rFonts w:ascii="宋体" w:hAnsi="宋体" w:eastAsia="宋体" w:cs="Arial"/>
          <w:b/>
          <w:bCs/>
          <w:sz w:val="52"/>
          <w:szCs w:val="52"/>
        </w:rPr>
      </w:pPr>
    </w:p>
    <w:p>
      <w:pPr>
        <w:jc w:val="center"/>
        <w:rPr>
          <w:rFonts w:ascii="宋体" w:hAnsi="宋体" w:eastAsia="宋体" w:cs="Arial"/>
          <w:b/>
          <w:bCs/>
          <w:sz w:val="72"/>
          <w:szCs w:val="52"/>
        </w:rPr>
      </w:pPr>
      <w:r>
        <w:rPr>
          <w:rFonts w:hint="eastAsia" w:ascii="宋体" w:hAnsi="宋体" w:eastAsia="宋体" w:cs="Arial"/>
          <w:b/>
          <w:bCs/>
          <w:sz w:val="72"/>
          <w:szCs w:val="52"/>
        </w:rPr>
        <w:t>竞价应答文件</w:t>
      </w:r>
    </w:p>
    <w:p>
      <w:pPr>
        <w:jc w:val="center"/>
        <w:rPr>
          <w:rFonts w:ascii="宋体" w:hAnsi="宋体" w:eastAsia="宋体" w:cs="Arial"/>
          <w:b/>
          <w:bCs/>
          <w:sz w:val="28"/>
          <w:szCs w:val="28"/>
        </w:rPr>
      </w:pPr>
    </w:p>
    <w:p>
      <w:pPr>
        <w:jc w:val="center"/>
        <w:rPr>
          <w:rFonts w:ascii="宋体" w:hAnsi="宋体" w:eastAsia="宋体" w:cs="Arial"/>
          <w:b/>
          <w:bCs/>
          <w:sz w:val="28"/>
          <w:szCs w:val="28"/>
        </w:rPr>
      </w:pPr>
    </w:p>
    <w:p>
      <w:pPr>
        <w:jc w:val="center"/>
        <w:rPr>
          <w:rFonts w:ascii="宋体" w:hAnsi="宋体" w:eastAsia="宋体" w:cs="Arial"/>
          <w:b/>
          <w:bCs/>
          <w:sz w:val="28"/>
          <w:szCs w:val="28"/>
        </w:rPr>
      </w:pPr>
    </w:p>
    <w:p>
      <w:pPr>
        <w:jc w:val="center"/>
        <w:rPr>
          <w:rFonts w:ascii="宋体" w:hAnsi="宋体" w:eastAsia="宋体" w:cs="Arial"/>
          <w:b/>
          <w:bCs/>
          <w:sz w:val="28"/>
          <w:szCs w:val="28"/>
        </w:rPr>
      </w:pPr>
    </w:p>
    <w:p>
      <w:pPr>
        <w:jc w:val="center"/>
        <w:rPr>
          <w:rFonts w:ascii="宋体" w:hAnsi="宋体" w:eastAsia="宋体" w:cs="Arial"/>
          <w:b/>
          <w:bCs/>
          <w:sz w:val="28"/>
          <w:szCs w:val="28"/>
        </w:rPr>
      </w:pPr>
    </w:p>
    <w:p>
      <w:pPr>
        <w:spacing w:line="360" w:lineRule="auto"/>
        <w:jc w:val="center"/>
        <w:rPr>
          <w:rFonts w:ascii="宋体" w:hAnsi="宋体" w:eastAsia="宋体" w:cs="Arial"/>
          <w:b/>
          <w:bCs/>
          <w:sz w:val="28"/>
          <w:szCs w:val="28"/>
        </w:rPr>
      </w:pPr>
    </w:p>
    <w:p>
      <w:pPr>
        <w:spacing w:line="360" w:lineRule="auto"/>
        <w:ind w:firstLine="1417" w:firstLineChars="504"/>
        <w:rPr>
          <w:rFonts w:ascii="宋体" w:hAnsi="宋体" w:eastAsia="宋体" w:cs="Arial"/>
          <w:b/>
          <w:bCs/>
          <w:sz w:val="28"/>
          <w:szCs w:val="28"/>
          <w:u w:val="single"/>
        </w:rPr>
      </w:pPr>
      <w:r>
        <w:rPr>
          <w:rFonts w:hint="eastAsia" w:ascii="宋体" w:hAnsi="宋体" w:eastAsia="宋体" w:cs="Arial"/>
          <w:b/>
          <w:bCs/>
          <w:sz w:val="28"/>
          <w:szCs w:val="28"/>
        </w:rPr>
        <w:t>项目名称：</w:t>
      </w:r>
    </w:p>
    <w:p>
      <w:pPr>
        <w:spacing w:line="360" w:lineRule="auto"/>
        <w:ind w:firstLine="1417" w:firstLineChars="504"/>
        <w:rPr>
          <w:rFonts w:ascii="宋体" w:hAnsi="宋体" w:eastAsia="宋体" w:cs="Arial"/>
          <w:b/>
          <w:bCs/>
          <w:sz w:val="28"/>
          <w:szCs w:val="28"/>
        </w:rPr>
      </w:pPr>
      <w:r>
        <w:rPr>
          <w:rFonts w:hint="eastAsia" w:ascii="宋体" w:hAnsi="宋体" w:eastAsia="宋体" w:cs="Arial"/>
          <w:b/>
          <w:bCs/>
          <w:sz w:val="28"/>
          <w:szCs w:val="28"/>
        </w:rPr>
        <w:t>项目编号：</w:t>
      </w:r>
    </w:p>
    <w:p>
      <w:pPr>
        <w:spacing w:line="360" w:lineRule="auto"/>
        <w:ind w:firstLine="1417" w:firstLineChars="504"/>
        <w:rPr>
          <w:rFonts w:ascii="宋体" w:hAnsi="宋体" w:eastAsia="宋体" w:cs="Arial"/>
          <w:b/>
          <w:bCs/>
          <w:sz w:val="28"/>
          <w:szCs w:val="28"/>
        </w:rPr>
      </w:pPr>
      <w:r>
        <w:rPr>
          <w:rFonts w:hint="eastAsia" w:ascii="宋体" w:hAnsi="宋体" w:eastAsia="宋体" w:cs="Arial"/>
          <w:b/>
          <w:bCs/>
          <w:sz w:val="28"/>
          <w:szCs w:val="28"/>
        </w:rPr>
        <w:t>投标单位：</w:t>
      </w:r>
      <w:r>
        <w:rPr>
          <w:rFonts w:hint="eastAsia" w:ascii="宋体" w:hAnsi="宋体" w:eastAsia="宋体" w:cs="Arial"/>
          <w:b/>
          <w:bCs/>
          <w:sz w:val="28"/>
          <w:szCs w:val="28"/>
          <w:u w:val="single"/>
        </w:rPr>
        <w:t xml:space="preserve">                   （加盖公章）</w:t>
      </w:r>
    </w:p>
    <w:p>
      <w:pPr>
        <w:spacing w:line="360" w:lineRule="auto"/>
        <w:ind w:firstLine="1417" w:firstLineChars="504"/>
        <w:rPr>
          <w:rFonts w:ascii="宋体" w:hAnsi="宋体" w:eastAsia="宋体" w:cs="Arial"/>
          <w:b/>
          <w:bCs/>
          <w:sz w:val="28"/>
          <w:szCs w:val="28"/>
          <w:u w:val="single"/>
        </w:rPr>
      </w:pPr>
      <w:r>
        <w:rPr>
          <w:rFonts w:hint="eastAsia" w:ascii="宋体" w:hAnsi="宋体" w:eastAsia="宋体" w:cs="Arial"/>
          <w:b/>
          <w:bCs/>
          <w:sz w:val="28"/>
          <w:szCs w:val="28"/>
        </w:rPr>
        <w:t>单位地址：</w:t>
      </w:r>
    </w:p>
    <w:p>
      <w:pPr>
        <w:spacing w:line="360" w:lineRule="auto"/>
        <w:ind w:firstLine="1417" w:firstLineChars="504"/>
        <w:rPr>
          <w:rFonts w:ascii="宋体" w:hAnsi="宋体" w:eastAsia="宋体" w:cs="Arial"/>
          <w:b/>
          <w:bCs/>
          <w:sz w:val="28"/>
          <w:szCs w:val="28"/>
          <w:u w:val="single"/>
        </w:rPr>
      </w:pPr>
      <w:r>
        <w:rPr>
          <w:rFonts w:hint="eastAsia" w:ascii="宋体" w:hAnsi="宋体" w:eastAsia="宋体" w:cs="Arial"/>
          <w:b/>
          <w:bCs/>
          <w:sz w:val="28"/>
          <w:szCs w:val="28"/>
        </w:rPr>
        <w:t>法定代表人</w:t>
      </w:r>
      <w:r>
        <w:rPr>
          <w:rFonts w:ascii="宋体" w:hAnsi="宋体" w:eastAsia="宋体" w:cs="Arial"/>
          <w:b/>
          <w:bCs/>
          <w:sz w:val="28"/>
          <w:szCs w:val="28"/>
        </w:rPr>
        <w:t>/</w:t>
      </w:r>
      <w:r>
        <w:rPr>
          <w:rFonts w:hint="eastAsia" w:ascii="宋体" w:hAnsi="宋体" w:eastAsia="宋体" w:cs="Arial"/>
          <w:b/>
          <w:bCs/>
          <w:sz w:val="28"/>
          <w:szCs w:val="28"/>
        </w:rPr>
        <w:t>被授权人：</w:t>
      </w:r>
    </w:p>
    <w:p>
      <w:pPr>
        <w:spacing w:line="360" w:lineRule="auto"/>
        <w:ind w:firstLine="1417" w:firstLineChars="504"/>
        <w:rPr>
          <w:rFonts w:ascii="宋体" w:hAnsi="宋体" w:eastAsia="宋体" w:cs="Arial"/>
          <w:b/>
          <w:bCs/>
          <w:sz w:val="28"/>
          <w:szCs w:val="28"/>
          <w:u w:val="single"/>
        </w:rPr>
      </w:pPr>
      <w:r>
        <w:rPr>
          <w:rFonts w:hint="eastAsia" w:ascii="宋体" w:hAnsi="宋体" w:eastAsia="宋体" w:cs="Arial"/>
          <w:b/>
          <w:bCs/>
          <w:sz w:val="28"/>
          <w:szCs w:val="28"/>
        </w:rPr>
        <w:t>联系电话：</w:t>
      </w:r>
    </w:p>
    <w:p>
      <w:pPr>
        <w:spacing w:line="360" w:lineRule="auto"/>
        <w:rPr>
          <w:rFonts w:ascii="宋体" w:hAnsi="宋体" w:eastAsia="宋体" w:cs="Arial"/>
          <w:b/>
          <w:bCs/>
          <w:sz w:val="28"/>
          <w:szCs w:val="28"/>
          <w:u w:val="single"/>
        </w:rPr>
      </w:pPr>
    </w:p>
    <w:p>
      <w:pPr>
        <w:spacing w:line="360" w:lineRule="auto"/>
        <w:rPr>
          <w:rFonts w:ascii="宋体" w:cs="Arial"/>
          <w:b/>
          <w:bCs/>
          <w:sz w:val="28"/>
          <w:szCs w:val="28"/>
        </w:rPr>
      </w:pPr>
    </w:p>
    <w:p/>
    <w:p>
      <w:pPr>
        <w:widowControl/>
        <w:jc w:val="center"/>
        <w:rPr>
          <w:rFonts w:ascii="宋体" w:hAnsi="宋体"/>
          <w:b/>
          <w:sz w:val="30"/>
          <w:szCs w:val="30"/>
        </w:rPr>
      </w:pPr>
      <w:r>
        <w:rPr>
          <w:rFonts w:ascii="宋体" w:hAnsi="宋体"/>
          <w:b/>
          <w:sz w:val="30"/>
          <w:szCs w:val="30"/>
        </w:rPr>
        <w:br w:type="page"/>
      </w:r>
    </w:p>
    <w:p>
      <w:pPr>
        <w:pStyle w:val="5"/>
        <w:rPr>
          <w:rStyle w:val="37"/>
          <w:b/>
          <w:bCs/>
        </w:rPr>
      </w:pPr>
      <w:bookmarkStart w:id="91" w:name="_Toc489"/>
      <w:bookmarkStart w:id="92" w:name="_Toc15085"/>
      <w:bookmarkStart w:id="93" w:name="_Toc1241"/>
      <w:r>
        <w:rPr>
          <w:rStyle w:val="37"/>
          <w:rFonts w:hint="eastAsia"/>
          <w:b/>
          <w:bCs/>
        </w:rPr>
        <w:t>一、资格性、符合性审查表</w:t>
      </w:r>
      <w:bookmarkEnd w:id="91"/>
      <w:bookmarkEnd w:id="92"/>
      <w:bookmarkEnd w:id="93"/>
    </w:p>
    <w:p>
      <w:pPr>
        <w:spacing w:beforeLines="100"/>
        <w:jc w:val="center"/>
        <w:rPr>
          <w:rFonts w:ascii="宋体" w:hAnsi="宋体" w:eastAsia="宋体"/>
          <w:b/>
          <w:sz w:val="24"/>
        </w:rPr>
      </w:pPr>
      <w:r>
        <w:rPr>
          <w:rFonts w:hint="eastAsia" w:ascii="宋体" w:hAnsi="宋体" w:eastAsia="宋体"/>
          <w:b/>
          <w:sz w:val="24"/>
        </w:rPr>
        <w:t>资格性审查表</w:t>
      </w:r>
    </w:p>
    <w:tbl>
      <w:tblPr>
        <w:tblStyle w:val="24"/>
        <w:tblW w:w="5000"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20" w:type="dxa"/>
          <w:left w:w="108" w:type="dxa"/>
          <w:bottom w:w="20" w:type="dxa"/>
          <w:right w:w="108" w:type="dxa"/>
        </w:tblCellMar>
      </w:tblPr>
      <w:tblGrid>
        <w:gridCol w:w="688"/>
        <w:gridCol w:w="6711"/>
        <w:gridCol w:w="933"/>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13" w:type="pct"/>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276" w:lineRule="auto"/>
              <w:jc w:val="center"/>
              <w:rPr>
                <w:rFonts w:ascii="宋体" w:hAnsi="宋体" w:eastAsia="宋体"/>
                <w:sz w:val="24"/>
                <w:szCs w:val="24"/>
              </w:rPr>
            </w:pPr>
            <w:r>
              <w:rPr>
                <w:rFonts w:ascii="宋体" w:hAnsi="宋体" w:eastAsia="宋体"/>
                <w:sz w:val="24"/>
                <w:szCs w:val="24"/>
              </w:rPr>
              <w:t>序号</w:t>
            </w:r>
          </w:p>
        </w:tc>
        <w:tc>
          <w:tcPr>
            <w:tcW w:w="4027" w:type="pct"/>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276" w:lineRule="auto"/>
              <w:jc w:val="center"/>
              <w:rPr>
                <w:rFonts w:ascii="宋体" w:hAnsi="宋体" w:eastAsia="宋体"/>
                <w:sz w:val="24"/>
                <w:szCs w:val="24"/>
              </w:rPr>
            </w:pPr>
            <w:r>
              <w:rPr>
                <w:rFonts w:ascii="宋体" w:hAnsi="宋体" w:eastAsia="宋体"/>
                <w:sz w:val="24"/>
                <w:szCs w:val="24"/>
              </w:rPr>
              <w:t>内容</w:t>
            </w:r>
          </w:p>
        </w:tc>
        <w:tc>
          <w:tcPr>
            <w:tcW w:w="560" w:type="pct"/>
            <w:tcBorders>
              <w:top w:val="single" w:color="000000" w:sz="8" w:space="0"/>
              <w:left w:val="single" w:color="000000" w:sz="8" w:space="0"/>
              <w:bottom w:val="single" w:color="000000" w:sz="8" w:space="0"/>
              <w:right w:val="single" w:color="000000" w:sz="8" w:space="0"/>
            </w:tcBorders>
            <w:shd w:val="clear" w:color="auto" w:fill="auto"/>
          </w:tcPr>
          <w:p>
            <w:pPr>
              <w:spacing w:line="276" w:lineRule="auto"/>
              <w:jc w:val="center"/>
              <w:rPr>
                <w:rFonts w:ascii="宋体" w:hAnsi="宋体" w:eastAsia="宋体"/>
                <w:sz w:val="24"/>
                <w:szCs w:val="24"/>
              </w:rPr>
            </w:pPr>
            <w:r>
              <w:rPr>
                <w:rFonts w:hint="eastAsia" w:ascii="宋体" w:hAnsi="宋体" w:eastAsia="宋体"/>
                <w:sz w:val="24"/>
                <w:szCs w:val="24"/>
              </w:rPr>
              <w:t>页码</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13" w:type="pct"/>
            <w:tcBorders>
              <w:top w:val="single" w:color="000000" w:sz="8" w:space="0"/>
              <w:left w:val="single" w:color="000000" w:sz="8" w:space="0"/>
              <w:bottom w:val="single" w:color="000000" w:sz="8" w:space="0"/>
              <w:right w:val="single" w:color="000000" w:sz="8" w:space="0"/>
            </w:tcBorders>
            <w:vAlign w:val="center"/>
          </w:tcPr>
          <w:p>
            <w:pPr>
              <w:spacing w:line="276" w:lineRule="auto"/>
              <w:jc w:val="center"/>
              <w:rPr>
                <w:rFonts w:ascii="宋体" w:hAnsi="宋体" w:eastAsia="宋体"/>
                <w:sz w:val="24"/>
                <w:szCs w:val="24"/>
              </w:rPr>
            </w:pPr>
            <w:r>
              <w:rPr>
                <w:rFonts w:ascii="宋体" w:hAnsi="宋体" w:eastAsia="宋体"/>
                <w:sz w:val="24"/>
                <w:szCs w:val="24"/>
              </w:rPr>
              <w:t>1</w:t>
            </w:r>
          </w:p>
        </w:tc>
        <w:tc>
          <w:tcPr>
            <w:tcW w:w="4027" w:type="pct"/>
            <w:tcBorders>
              <w:top w:val="single" w:color="000000" w:sz="8" w:space="0"/>
              <w:left w:val="single" w:color="000000" w:sz="8" w:space="0"/>
              <w:bottom w:val="single" w:color="000000" w:sz="8" w:space="0"/>
              <w:right w:val="single" w:color="000000" w:sz="8" w:space="0"/>
            </w:tcBorders>
          </w:tcPr>
          <w:p>
            <w:pPr>
              <w:spacing w:line="348" w:lineRule="auto"/>
              <w:rPr>
                <w:rFonts w:ascii="宋体" w:hAnsi="宋体" w:eastAsia="宋体"/>
                <w:sz w:val="24"/>
                <w:szCs w:val="24"/>
              </w:rPr>
            </w:pPr>
            <w:r>
              <w:rPr>
                <w:rFonts w:hint="eastAsia" w:ascii="宋体" w:hAnsi="宋体" w:eastAsia="宋体" w:cs="宋体"/>
                <w:sz w:val="24"/>
                <w:szCs w:val="24"/>
              </w:rPr>
              <w:t>具有独立法人资格或是具有独立承担民事责任能力的其它组织（提供营业执照或事业单位法人证书等证明资料扫描件加盖投标人公章，原件备查）；</w:t>
            </w:r>
          </w:p>
        </w:tc>
        <w:tc>
          <w:tcPr>
            <w:tcW w:w="560"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13" w:type="pct"/>
            <w:tcBorders>
              <w:top w:val="single" w:color="000000" w:sz="8" w:space="0"/>
              <w:left w:val="single" w:color="000000" w:sz="8" w:space="0"/>
              <w:bottom w:val="single" w:color="000000" w:sz="8" w:space="0"/>
              <w:right w:val="single" w:color="000000" w:sz="8" w:space="0"/>
            </w:tcBorders>
            <w:vAlign w:val="center"/>
          </w:tcPr>
          <w:p>
            <w:pPr>
              <w:spacing w:line="276" w:lineRule="auto"/>
              <w:jc w:val="center"/>
              <w:rPr>
                <w:rFonts w:ascii="宋体" w:hAnsi="宋体" w:eastAsia="宋体"/>
                <w:sz w:val="24"/>
                <w:szCs w:val="24"/>
              </w:rPr>
            </w:pPr>
            <w:r>
              <w:rPr>
                <w:rFonts w:hint="eastAsia" w:ascii="宋体" w:hAnsi="宋体" w:eastAsia="宋体"/>
                <w:sz w:val="24"/>
                <w:szCs w:val="24"/>
              </w:rPr>
              <w:t>2</w:t>
            </w:r>
          </w:p>
        </w:tc>
        <w:tc>
          <w:tcPr>
            <w:tcW w:w="4027"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sz w:val="24"/>
                <w:szCs w:val="24"/>
              </w:rPr>
            </w:pPr>
            <w:r>
              <w:rPr>
                <w:rFonts w:hint="eastAsia" w:ascii="宋体" w:hAnsi="宋体" w:eastAsia="宋体" w:cs="宋体"/>
                <w:sz w:val="24"/>
                <w:szCs w:val="24"/>
              </w:rPr>
              <w:t>投标人近三年内（即从2020年11月开始起算，供应商成立不足三年的可从成立之日起算）无行贿犯罪记录（由供应商在《承诺函》中作出声明）；中国裁判文书网(</w:t>
            </w:r>
            <w:r>
              <w:fldChar w:fldCharType="begin"/>
            </w:r>
            <w:r>
              <w:instrText xml:space="preserve"> HYPERLINK "http://wenshu.court.gov.cn/" </w:instrText>
            </w:r>
            <w:r>
              <w:fldChar w:fldCharType="separate"/>
            </w:r>
            <w:r>
              <w:rPr>
                <w:rFonts w:hint="eastAsia" w:ascii="宋体" w:hAnsi="宋体" w:eastAsia="宋体" w:cs="宋体"/>
                <w:sz w:val="24"/>
                <w:szCs w:val="24"/>
              </w:rPr>
              <w:t>http://wenshu.court.gov.cn</w:t>
            </w:r>
            <w:r>
              <w:rPr>
                <w:rFonts w:hint="eastAsia" w:ascii="宋体" w:hAnsi="宋体" w:eastAsia="宋体" w:cs="宋体"/>
                <w:sz w:val="24"/>
                <w:szCs w:val="24"/>
              </w:rPr>
              <w:fldChar w:fldCharType="end"/>
            </w:r>
            <w:r>
              <w:fldChar w:fldCharType="begin"/>
            </w:r>
            <w:r>
              <w:instrText xml:space="preserve"> HYPERLINK "http://wenshu.court.gov.cn/" </w:instrText>
            </w:r>
            <w:r>
              <w:fldChar w:fldCharType="separate"/>
            </w:r>
            <w:r>
              <w:rPr>
                <w:rFonts w:hint="eastAsia" w:ascii="宋体" w:hAnsi="宋体" w:eastAsia="宋体" w:cs="宋体"/>
                <w:sz w:val="24"/>
                <w:szCs w:val="24"/>
              </w:rPr>
              <w:t>/</w:t>
            </w:r>
            <w:r>
              <w:rPr>
                <w:rFonts w:hint="eastAsia" w:ascii="宋体" w:hAnsi="宋体" w:eastAsia="宋体" w:cs="宋体"/>
                <w:sz w:val="24"/>
                <w:szCs w:val="24"/>
              </w:rPr>
              <w:fldChar w:fldCharType="end"/>
            </w:r>
            <w:r>
              <w:rPr>
                <w:rFonts w:hint="eastAsia" w:ascii="宋体" w:hAnsi="宋体" w:eastAsia="宋体" w:cs="宋体"/>
                <w:sz w:val="24"/>
                <w:szCs w:val="24"/>
              </w:rPr>
              <w:t>)为查询渠道，相关信息以</w:t>
            </w:r>
            <w:r>
              <w:rPr>
                <w:rFonts w:hint="eastAsia" w:ascii="宋体" w:hAnsi="宋体" w:eastAsia="宋体" w:cs="宋体"/>
                <w:b/>
                <w:bCs/>
                <w:sz w:val="24"/>
                <w:szCs w:val="24"/>
              </w:rPr>
              <w:t>采购</w:t>
            </w:r>
            <w:r>
              <w:rPr>
                <w:rFonts w:hint="eastAsia" w:ascii="宋体" w:hAnsi="宋体" w:eastAsia="宋体" w:cs="宋体"/>
                <w:sz w:val="24"/>
                <w:szCs w:val="24"/>
              </w:rPr>
              <w:t>代理机构开标当日的查询结果为准；</w:t>
            </w:r>
          </w:p>
        </w:tc>
        <w:tc>
          <w:tcPr>
            <w:tcW w:w="560"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13" w:type="pct"/>
            <w:tcBorders>
              <w:top w:val="single" w:color="000000" w:sz="8" w:space="0"/>
              <w:left w:val="single" w:color="000000" w:sz="8" w:space="0"/>
              <w:bottom w:val="single" w:color="000000" w:sz="8" w:space="0"/>
              <w:right w:val="single" w:color="000000" w:sz="8" w:space="0"/>
            </w:tcBorders>
            <w:vAlign w:val="center"/>
          </w:tcPr>
          <w:p>
            <w:pPr>
              <w:spacing w:line="276" w:lineRule="auto"/>
              <w:jc w:val="center"/>
              <w:rPr>
                <w:rFonts w:ascii="宋体" w:hAnsi="宋体" w:eastAsia="宋体"/>
                <w:sz w:val="24"/>
                <w:szCs w:val="24"/>
              </w:rPr>
            </w:pPr>
            <w:r>
              <w:rPr>
                <w:rFonts w:hint="eastAsia" w:ascii="宋体" w:hAnsi="宋体" w:eastAsia="宋体"/>
                <w:sz w:val="24"/>
                <w:szCs w:val="24"/>
              </w:rPr>
              <w:t>3</w:t>
            </w:r>
          </w:p>
        </w:tc>
        <w:tc>
          <w:tcPr>
            <w:tcW w:w="4027" w:type="pct"/>
            <w:tcBorders>
              <w:top w:val="single" w:color="000000" w:sz="8" w:space="0"/>
              <w:left w:val="single" w:color="000000" w:sz="8" w:space="0"/>
              <w:bottom w:val="single" w:color="000000" w:sz="8" w:space="0"/>
              <w:right w:val="single" w:color="000000" w:sz="8" w:space="0"/>
            </w:tcBorders>
          </w:tcPr>
          <w:p>
            <w:pPr>
              <w:spacing w:line="336" w:lineRule="auto"/>
              <w:rPr>
                <w:rFonts w:ascii="宋体" w:hAnsi="宋体" w:eastAsia="宋体" w:cs="宋体"/>
                <w:sz w:val="24"/>
                <w:szCs w:val="24"/>
              </w:rPr>
            </w:pPr>
            <w:r>
              <w:rPr>
                <w:rFonts w:hint="eastAsia" w:ascii="宋体" w:hAnsi="宋体" w:eastAsia="宋体" w:cs="宋体"/>
                <w:sz w:val="24"/>
                <w:szCs w:val="24"/>
              </w:rPr>
              <w:t>未被列入失信被执行人、重大税收违法失信主体、政府采购严重违法失信行为记录名单（由供应商在《承诺函》中作出声明）；</w:t>
            </w:r>
          </w:p>
          <w:p>
            <w:pPr>
              <w:spacing w:line="336" w:lineRule="auto"/>
              <w:rPr>
                <w:rFonts w:ascii="宋体" w:hAnsi="宋体" w:eastAsia="宋体" w:cs="宋体"/>
                <w:sz w:val="24"/>
                <w:szCs w:val="24"/>
              </w:rPr>
            </w:pPr>
            <w:r>
              <w:rPr>
                <w:rFonts w:hint="eastAsia" w:ascii="宋体" w:hAnsi="宋体" w:eastAsia="宋体" w:cs="宋体"/>
                <w:b/>
                <w:bCs/>
                <w:sz w:val="24"/>
                <w:szCs w:val="24"/>
              </w:rPr>
              <w:t>注：（1）“信用中国”、“中国政府采购网”、“深圳信用网”以及“深圳市政府采购监管网”为供应商信用信息的查询渠道，相关信息以开标当日采购代理机构的查询结果为准；</w:t>
            </w:r>
          </w:p>
        </w:tc>
        <w:tc>
          <w:tcPr>
            <w:tcW w:w="560"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13" w:type="pct"/>
            <w:tcBorders>
              <w:top w:val="single" w:color="000000" w:sz="8" w:space="0"/>
              <w:left w:val="single" w:color="000000" w:sz="8" w:space="0"/>
              <w:bottom w:val="single" w:color="000000" w:sz="8" w:space="0"/>
              <w:right w:val="single" w:color="000000" w:sz="8" w:space="0"/>
            </w:tcBorders>
            <w:vAlign w:val="center"/>
          </w:tcPr>
          <w:p>
            <w:pPr>
              <w:spacing w:line="276" w:lineRule="auto"/>
              <w:jc w:val="center"/>
              <w:rPr>
                <w:rFonts w:ascii="宋体" w:hAnsi="宋体" w:eastAsia="宋体"/>
                <w:sz w:val="24"/>
                <w:szCs w:val="24"/>
              </w:rPr>
            </w:pPr>
            <w:r>
              <w:rPr>
                <w:rFonts w:hint="eastAsia" w:ascii="宋体" w:hAnsi="宋体" w:eastAsia="宋体"/>
                <w:sz w:val="24"/>
                <w:szCs w:val="24"/>
              </w:rPr>
              <w:t>4</w:t>
            </w:r>
          </w:p>
        </w:tc>
        <w:tc>
          <w:tcPr>
            <w:tcW w:w="4027"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cs="宋体"/>
                <w:sz w:val="24"/>
                <w:szCs w:val="24"/>
              </w:rPr>
            </w:pPr>
            <w:r>
              <w:rPr>
                <w:rFonts w:hint="eastAsia" w:ascii="宋体" w:hAnsi="宋体" w:eastAsia="宋体" w:cs="宋体"/>
                <w:sz w:val="24"/>
                <w:szCs w:val="24"/>
              </w:rPr>
              <w:t>依据《中华人民共和国政府采购法实施条例》第十八条规定，单位负责人为同一人或者存在直接控股、管理关系的不同供应商，不得参加同一合同项下的政府采购活动（由供应商在《承诺函》中作出声明）；</w:t>
            </w:r>
          </w:p>
        </w:tc>
        <w:tc>
          <w:tcPr>
            <w:tcW w:w="560"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13" w:type="pct"/>
            <w:tcBorders>
              <w:top w:val="single" w:color="000000" w:sz="8" w:space="0"/>
              <w:left w:val="single" w:color="000000" w:sz="8" w:space="0"/>
              <w:bottom w:val="single" w:color="000000" w:sz="8" w:space="0"/>
              <w:right w:val="single" w:color="000000" w:sz="8" w:space="0"/>
            </w:tcBorders>
            <w:vAlign w:val="center"/>
          </w:tcPr>
          <w:p>
            <w:pPr>
              <w:spacing w:line="276" w:lineRule="auto"/>
              <w:jc w:val="center"/>
              <w:rPr>
                <w:rFonts w:ascii="宋体" w:hAnsi="宋体" w:eastAsia="宋体"/>
                <w:sz w:val="24"/>
                <w:szCs w:val="24"/>
              </w:rPr>
            </w:pPr>
            <w:r>
              <w:rPr>
                <w:rFonts w:hint="eastAsia" w:ascii="宋体" w:hAnsi="宋体" w:eastAsia="宋体"/>
                <w:sz w:val="24"/>
                <w:szCs w:val="24"/>
              </w:rPr>
              <w:t>5</w:t>
            </w:r>
          </w:p>
        </w:tc>
        <w:tc>
          <w:tcPr>
            <w:tcW w:w="4027" w:type="pct"/>
            <w:tcBorders>
              <w:top w:val="single" w:color="000000" w:sz="8" w:space="0"/>
              <w:left w:val="single" w:color="000000" w:sz="8" w:space="0"/>
              <w:bottom w:val="single" w:color="000000" w:sz="8" w:space="0"/>
              <w:right w:val="single" w:color="000000" w:sz="8" w:space="0"/>
            </w:tcBorders>
          </w:tcPr>
          <w:p>
            <w:pPr>
              <w:spacing w:line="348" w:lineRule="auto"/>
              <w:rPr>
                <w:rFonts w:ascii="宋体" w:hAnsi="宋体" w:eastAsia="宋体"/>
                <w:sz w:val="24"/>
                <w:szCs w:val="24"/>
              </w:rPr>
            </w:pPr>
            <w:r>
              <w:rPr>
                <w:rFonts w:hint="eastAsia" w:ascii="宋体" w:hAnsi="宋体" w:eastAsia="宋体" w:cs="宋体"/>
                <w:sz w:val="24"/>
                <w:szCs w:val="24"/>
              </w:rPr>
              <w:t>本项目不接受联合体投标，不允许转包分包（由供应商在《承诺函》中作出声明）。</w:t>
            </w:r>
          </w:p>
        </w:tc>
        <w:tc>
          <w:tcPr>
            <w:tcW w:w="560"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sz w:val="24"/>
                <w:szCs w:val="24"/>
              </w:rPr>
            </w:pPr>
          </w:p>
        </w:tc>
      </w:tr>
    </w:tbl>
    <w:p>
      <w:pPr>
        <w:jc w:val="left"/>
        <w:rPr>
          <w:rFonts w:ascii="宋体" w:hAnsi="宋体" w:eastAsia="宋体"/>
          <w:b/>
          <w:sz w:val="24"/>
        </w:rPr>
      </w:pPr>
      <w:r>
        <w:rPr>
          <w:rFonts w:hint="eastAsia" w:ascii="宋体" w:hAnsi="宋体" w:eastAsia="宋体"/>
          <w:b/>
          <w:sz w:val="24"/>
        </w:rPr>
        <w:br w:type="page"/>
      </w:r>
    </w:p>
    <w:p>
      <w:pPr>
        <w:spacing w:beforeLines="100"/>
        <w:jc w:val="center"/>
        <w:rPr>
          <w:rFonts w:ascii="宋体" w:hAnsi="宋体" w:eastAsia="宋体"/>
          <w:b/>
          <w:sz w:val="24"/>
        </w:rPr>
      </w:pPr>
      <w:r>
        <w:rPr>
          <w:rFonts w:hint="eastAsia" w:ascii="宋体" w:hAnsi="宋体" w:eastAsia="宋体"/>
          <w:b/>
          <w:sz w:val="24"/>
        </w:rPr>
        <w:t>符合性审查表</w:t>
      </w:r>
    </w:p>
    <w:tbl>
      <w:tblPr>
        <w:tblStyle w:val="24"/>
        <w:tblW w:w="5144"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20" w:type="dxa"/>
          <w:left w:w="108" w:type="dxa"/>
          <w:bottom w:w="20" w:type="dxa"/>
          <w:right w:w="108" w:type="dxa"/>
        </w:tblCellMar>
      </w:tblPr>
      <w:tblGrid>
        <w:gridCol w:w="727"/>
        <w:gridCol w:w="6707"/>
        <w:gridCol w:w="1138"/>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24" w:type="pct"/>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276" w:lineRule="auto"/>
              <w:jc w:val="center"/>
              <w:rPr>
                <w:rFonts w:ascii="宋体" w:hAnsi="宋体" w:eastAsia="宋体"/>
                <w:sz w:val="24"/>
                <w:szCs w:val="24"/>
              </w:rPr>
            </w:pPr>
            <w:r>
              <w:rPr>
                <w:rFonts w:ascii="宋体" w:hAnsi="宋体" w:eastAsia="宋体"/>
                <w:sz w:val="24"/>
                <w:szCs w:val="24"/>
              </w:rPr>
              <w:t>序号</w:t>
            </w:r>
          </w:p>
        </w:tc>
        <w:tc>
          <w:tcPr>
            <w:tcW w:w="3911" w:type="pct"/>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276" w:lineRule="auto"/>
              <w:jc w:val="center"/>
              <w:rPr>
                <w:rFonts w:ascii="宋体" w:hAnsi="宋体" w:eastAsia="宋体"/>
                <w:sz w:val="24"/>
                <w:szCs w:val="24"/>
              </w:rPr>
            </w:pPr>
            <w:r>
              <w:rPr>
                <w:rFonts w:ascii="宋体" w:hAnsi="宋体" w:eastAsia="宋体"/>
                <w:sz w:val="24"/>
                <w:szCs w:val="24"/>
              </w:rPr>
              <w:t>内容</w:t>
            </w:r>
          </w:p>
        </w:tc>
        <w:tc>
          <w:tcPr>
            <w:tcW w:w="663" w:type="pct"/>
            <w:tcBorders>
              <w:top w:val="single" w:color="000000" w:sz="8" w:space="0"/>
              <w:left w:val="single" w:color="000000" w:sz="8" w:space="0"/>
              <w:bottom w:val="single" w:color="000000" w:sz="8" w:space="0"/>
              <w:right w:val="single" w:color="000000" w:sz="8" w:space="0"/>
            </w:tcBorders>
            <w:shd w:val="clear" w:color="auto" w:fill="auto"/>
          </w:tcPr>
          <w:p>
            <w:pPr>
              <w:spacing w:line="276" w:lineRule="auto"/>
              <w:jc w:val="center"/>
              <w:rPr>
                <w:rFonts w:ascii="宋体" w:hAnsi="宋体" w:eastAsia="宋体"/>
                <w:sz w:val="24"/>
                <w:szCs w:val="24"/>
              </w:rPr>
            </w:pPr>
            <w:r>
              <w:rPr>
                <w:rFonts w:hint="eastAsia" w:ascii="宋体" w:hAnsi="宋体" w:eastAsia="宋体"/>
                <w:sz w:val="24"/>
                <w:szCs w:val="24"/>
              </w:rPr>
              <w:t>说明</w:t>
            </w:r>
          </w:p>
          <w:p>
            <w:pPr>
              <w:spacing w:line="276" w:lineRule="auto"/>
              <w:jc w:val="center"/>
              <w:rPr>
                <w:rFonts w:ascii="宋体" w:hAnsi="宋体" w:eastAsia="宋体"/>
                <w:sz w:val="24"/>
                <w:szCs w:val="24"/>
              </w:rPr>
            </w:pPr>
            <w:r>
              <w:rPr>
                <w:rFonts w:hint="eastAsia" w:ascii="宋体" w:hAnsi="宋体" w:eastAsia="宋体"/>
                <w:sz w:val="24"/>
                <w:szCs w:val="24"/>
              </w:rPr>
              <w:t>（通过/不通过）</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24" w:type="pct"/>
            <w:tcBorders>
              <w:top w:val="single" w:color="000000" w:sz="8" w:space="0"/>
              <w:left w:val="single" w:color="000000" w:sz="8" w:space="0"/>
              <w:bottom w:val="single" w:color="000000" w:sz="8" w:space="0"/>
              <w:right w:val="single" w:color="000000" w:sz="8" w:space="0"/>
            </w:tcBorders>
            <w:vAlign w:val="center"/>
          </w:tcPr>
          <w:p>
            <w:pPr>
              <w:spacing w:line="276" w:lineRule="auto"/>
              <w:jc w:val="center"/>
              <w:rPr>
                <w:rFonts w:ascii="宋体" w:hAnsi="宋体" w:eastAsia="宋体"/>
                <w:sz w:val="24"/>
                <w:szCs w:val="24"/>
              </w:rPr>
            </w:pPr>
            <w:r>
              <w:rPr>
                <w:rFonts w:ascii="宋体" w:hAnsi="宋体" w:eastAsia="宋体"/>
                <w:sz w:val="24"/>
                <w:szCs w:val="24"/>
              </w:rPr>
              <w:t>1</w:t>
            </w:r>
          </w:p>
        </w:tc>
        <w:tc>
          <w:tcPr>
            <w:tcW w:w="3911" w:type="pct"/>
            <w:tcBorders>
              <w:top w:val="single" w:color="000000" w:sz="8" w:space="0"/>
              <w:left w:val="single" w:color="000000" w:sz="8" w:space="0"/>
              <w:bottom w:val="single" w:color="000000" w:sz="8" w:space="0"/>
              <w:right w:val="single" w:color="000000" w:sz="8" w:space="0"/>
            </w:tcBorders>
          </w:tcPr>
          <w:p>
            <w:pPr>
              <w:spacing w:line="276" w:lineRule="auto"/>
              <w:jc w:val="left"/>
              <w:rPr>
                <w:rFonts w:ascii="宋体" w:hAnsi="宋体" w:eastAsia="宋体"/>
                <w:sz w:val="24"/>
                <w:szCs w:val="24"/>
              </w:rPr>
            </w:pPr>
            <w:r>
              <w:rPr>
                <w:rFonts w:hint="eastAsia" w:ascii="宋体" w:hAnsi="宋体" w:eastAsia="宋体" w:cs="宋体"/>
                <w:kern w:val="0"/>
                <w:sz w:val="24"/>
                <w:szCs w:val="24"/>
              </w:rPr>
              <w:t>报价总价超过项目中的预算金额，或者报价单价超过项目对应的单项预算。</w:t>
            </w:r>
          </w:p>
        </w:tc>
        <w:tc>
          <w:tcPr>
            <w:tcW w:w="663"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jc w:val="center"/>
        </w:trPr>
        <w:tc>
          <w:tcPr>
            <w:tcW w:w="424" w:type="pct"/>
            <w:tcBorders>
              <w:top w:val="single" w:color="000000" w:sz="8" w:space="0"/>
              <w:left w:val="single" w:color="000000" w:sz="8" w:space="0"/>
              <w:bottom w:val="single" w:color="000000" w:sz="8" w:space="0"/>
              <w:right w:val="single" w:color="000000" w:sz="8" w:space="0"/>
            </w:tcBorders>
            <w:vAlign w:val="center"/>
          </w:tcPr>
          <w:p>
            <w:pPr>
              <w:spacing w:line="276" w:lineRule="auto"/>
              <w:jc w:val="center"/>
              <w:rPr>
                <w:rFonts w:ascii="宋体" w:hAnsi="宋体" w:eastAsia="宋体"/>
                <w:sz w:val="24"/>
                <w:szCs w:val="24"/>
              </w:rPr>
            </w:pPr>
            <w:r>
              <w:rPr>
                <w:rFonts w:ascii="宋体" w:hAnsi="宋体" w:eastAsia="宋体"/>
                <w:sz w:val="24"/>
                <w:szCs w:val="24"/>
              </w:rPr>
              <w:t>2</w:t>
            </w:r>
          </w:p>
        </w:tc>
        <w:tc>
          <w:tcPr>
            <w:tcW w:w="3911" w:type="pct"/>
            <w:tcBorders>
              <w:top w:val="single" w:color="000000" w:sz="8" w:space="0"/>
              <w:left w:val="single" w:color="000000" w:sz="8" w:space="0"/>
              <w:bottom w:val="single" w:color="000000" w:sz="8" w:space="0"/>
              <w:right w:val="single" w:color="000000" w:sz="8" w:space="0"/>
            </w:tcBorders>
          </w:tcPr>
          <w:p>
            <w:pPr>
              <w:spacing w:line="276" w:lineRule="auto"/>
            </w:pPr>
            <w:r>
              <w:rPr>
                <w:rFonts w:hint="eastAsia" w:ascii="宋体" w:hAnsi="宋体" w:eastAsia="宋体" w:cs="宋体"/>
                <w:kern w:val="0"/>
                <w:sz w:val="24"/>
                <w:szCs w:val="24"/>
              </w:rPr>
              <w:t>供应商响应的服务要求不符合本项目竞价采购需求明细中约定的服务要求。</w:t>
            </w:r>
          </w:p>
        </w:tc>
        <w:tc>
          <w:tcPr>
            <w:tcW w:w="663"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24" w:type="pct"/>
            <w:tcBorders>
              <w:top w:val="single" w:color="000000" w:sz="8" w:space="0"/>
              <w:left w:val="single" w:color="000000" w:sz="8" w:space="0"/>
              <w:bottom w:val="single" w:color="000000" w:sz="8" w:space="0"/>
              <w:right w:val="single" w:color="000000" w:sz="8" w:space="0"/>
            </w:tcBorders>
            <w:vAlign w:val="center"/>
          </w:tcPr>
          <w:p>
            <w:pPr>
              <w:spacing w:line="276" w:lineRule="auto"/>
              <w:jc w:val="center"/>
              <w:rPr>
                <w:rFonts w:ascii="宋体" w:hAnsi="宋体" w:eastAsia="宋体"/>
                <w:sz w:val="24"/>
                <w:szCs w:val="24"/>
              </w:rPr>
            </w:pPr>
            <w:r>
              <w:rPr>
                <w:rFonts w:hint="eastAsia" w:ascii="宋体" w:hAnsi="宋体" w:eastAsia="宋体"/>
                <w:sz w:val="24"/>
                <w:szCs w:val="24"/>
              </w:rPr>
              <w:t>3</w:t>
            </w:r>
          </w:p>
        </w:tc>
        <w:tc>
          <w:tcPr>
            <w:tcW w:w="3911"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cs="宋体"/>
                <w:kern w:val="0"/>
                <w:sz w:val="24"/>
                <w:szCs w:val="24"/>
              </w:rPr>
            </w:pPr>
            <w:r>
              <w:rPr>
                <w:rFonts w:hint="eastAsia" w:ascii="宋体" w:hAnsi="宋体" w:eastAsia="宋体" w:cs="宋体"/>
                <w:kern w:val="0"/>
                <w:sz w:val="24"/>
                <w:szCs w:val="24"/>
              </w:rPr>
              <w:t>供应商响应的商务要求不符合本项目竞价采购需求明细中约定的商务要求。</w:t>
            </w:r>
          </w:p>
        </w:tc>
        <w:tc>
          <w:tcPr>
            <w:tcW w:w="663"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jc w:val="center"/>
        </w:trPr>
        <w:tc>
          <w:tcPr>
            <w:tcW w:w="424" w:type="pct"/>
            <w:tcBorders>
              <w:top w:val="single" w:color="000000" w:sz="8" w:space="0"/>
              <w:left w:val="single" w:color="000000" w:sz="8" w:space="0"/>
              <w:bottom w:val="single" w:color="000000" w:sz="8" w:space="0"/>
              <w:right w:val="single" w:color="000000" w:sz="8" w:space="0"/>
            </w:tcBorders>
            <w:vAlign w:val="center"/>
          </w:tcPr>
          <w:p>
            <w:pPr>
              <w:spacing w:line="276" w:lineRule="auto"/>
              <w:jc w:val="center"/>
              <w:rPr>
                <w:rFonts w:ascii="宋体" w:hAnsi="宋体" w:eastAsia="宋体"/>
                <w:sz w:val="24"/>
                <w:szCs w:val="24"/>
              </w:rPr>
            </w:pPr>
            <w:r>
              <w:rPr>
                <w:rFonts w:hint="eastAsia" w:ascii="宋体" w:hAnsi="宋体" w:eastAsia="宋体"/>
                <w:sz w:val="24"/>
                <w:szCs w:val="24"/>
              </w:rPr>
              <w:t>4</w:t>
            </w:r>
          </w:p>
        </w:tc>
        <w:tc>
          <w:tcPr>
            <w:tcW w:w="3911"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cs="宋体"/>
                <w:kern w:val="0"/>
                <w:sz w:val="24"/>
                <w:szCs w:val="24"/>
              </w:rPr>
            </w:pPr>
            <w:r>
              <w:rPr>
                <w:rFonts w:hint="eastAsia" w:ascii="宋体" w:hAnsi="宋体" w:eastAsia="宋体" w:cs="宋体"/>
                <w:kern w:val="0"/>
                <w:sz w:val="24"/>
                <w:szCs w:val="24"/>
              </w:rPr>
              <w:t>供应商应答文件中分项报价之和与竞价总价不一致时，其修正后的分项报价之和大于其报价总价的。</w:t>
            </w:r>
          </w:p>
        </w:tc>
        <w:tc>
          <w:tcPr>
            <w:tcW w:w="663"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24" w:type="pct"/>
            <w:tcBorders>
              <w:top w:val="single" w:color="000000" w:sz="8" w:space="0"/>
              <w:left w:val="single" w:color="000000" w:sz="8" w:space="0"/>
              <w:bottom w:val="single" w:color="000000" w:sz="8" w:space="0"/>
              <w:right w:val="single" w:color="000000" w:sz="8" w:space="0"/>
            </w:tcBorders>
            <w:vAlign w:val="center"/>
          </w:tcPr>
          <w:p>
            <w:pPr>
              <w:spacing w:line="276" w:lineRule="auto"/>
              <w:jc w:val="center"/>
              <w:rPr>
                <w:rFonts w:ascii="宋体" w:hAnsi="宋体" w:eastAsia="宋体"/>
                <w:sz w:val="24"/>
                <w:szCs w:val="24"/>
              </w:rPr>
            </w:pPr>
            <w:r>
              <w:rPr>
                <w:rFonts w:hint="eastAsia" w:ascii="宋体" w:hAnsi="宋体" w:eastAsia="宋体"/>
                <w:sz w:val="24"/>
                <w:szCs w:val="24"/>
              </w:rPr>
              <w:t>5</w:t>
            </w:r>
          </w:p>
        </w:tc>
        <w:tc>
          <w:tcPr>
            <w:tcW w:w="3911"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cs="宋体"/>
                <w:kern w:val="0"/>
                <w:sz w:val="24"/>
                <w:szCs w:val="24"/>
              </w:rPr>
            </w:pPr>
            <w:r>
              <w:rPr>
                <w:rFonts w:hint="eastAsia" w:ascii="宋体" w:hAnsi="宋体" w:eastAsia="宋体" w:cs="宋体"/>
                <w:kern w:val="0"/>
                <w:sz w:val="24"/>
                <w:szCs w:val="24"/>
              </w:rPr>
              <w:t>供应商应答文件未按竞价应答文件格式规定内容、格式提交或填写不完整。</w:t>
            </w:r>
          </w:p>
        </w:tc>
        <w:tc>
          <w:tcPr>
            <w:tcW w:w="663"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24" w:type="pct"/>
            <w:tcBorders>
              <w:top w:val="single" w:color="000000" w:sz="8" w:space="0"/>
              <w:left w:val="single" w:color="000000" w:sz="8" w:space="0"/>
              <w:bottom w:val="single" w:color="000000" w:sz="8" w:space="0"/>
              <w:right w:val="single" w:color="000000" w:sz="8" w:space="0"/>
            </w:tcBorders>
            <w:vAlign w:val="center"/>
          </w:tcPr>
          <w:p>
            <w:pPr>
              <w:spacing w:line="276" w:lineRule="auto"/>
              <w:jc w:val="center"/>
              <w:rPr>
                <w:rFonts w:ascii="宋体" w:hAnsi="宋体" w:eastAsia="宋体"/>
                <w:sz w:val="24"/>
                <w:szCs w:val="24"/>
              </w:rPr>
            </w:pPr>
            <w:r>
              <w:rPr>
                <w:rFonts w:hint="eastAsia" w:ascii="宋体" w:hAnsi="宋体" w:eastAsia="宋体"/>
                <w:sz w:val="24"/>
                <w:szCs w:val="24"/>
              </w:rPr>
              <w:t>6</w:t>
            </w:r>
          </w:p>
        </w:tc>
        <w:tc>
          <w:tcPr>
            <w:tcW w:w="3911"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cs="宋体"/>
                <w:kern w:val="0"/>
                <w:sz w:val="24"/>
                <w:szCs w:val="24"/>
              </w:rPr>
            </w:pPr>
            <w:r>
              <w:rPr>
                <w:rFonts w:hint="eastAsia" w:ascii="宋体" w:hAnsi="宋体" w:eastAsia="宋体" w:cs="宋体"/>
                <w:kern w:val="0"/>
                <w:sz w:val="24"/>
                <w:szCs w:val="24"/>
              </w:rPr>
              <w:t>有法律、法规规定的其他无效情形。</w:t>
            </w:r>
          </w:p>
        </w:tc>
        <w:tc>
          <w:tcPr>
            <w:tcW w:w="663" w:type="pct"/>
            <w:tcBorders>
              <w:top w:val="single" w:color="000000" w:sz="8" w:space="0"/>
              <w:left w:val="single" w:color="000000" w:sz="8" w:space="0"/>
              <w:bottom w:val="single" w:color="000000" w:sz="8" w:space="0"/>
              <w:right w:val="single" w:color="000000" w:sz="8" w:space="0"/>
            </w:tcBorders>
          </w:tcPr>
          <w:p>
            <w:pPr>
              <w:spacing w:line="276" w:lineRule="auto"/>
              <w:rPr>
                <w:rFonts w:ascii="宋体" w:hAnsi="宋体" w:eastAsia="宋体"/>
                <w:sz w:val="24"/>
                <w:szCs w:val="24"/>
              </w:rPr>
            </w:pPr>
          </w:p>
        </w:tc>
      </w:tr>
    </w:tbl>
    <w:p>
      <w:pPr>
        <w:pStyle w:val="39"/>
        <w:spacing w:line="360" w:lineRule="auto"/>
        <w:ind w:firstLine="0" w:firstLineChars="0"/>
        <w:rPr>
          <w:rFonts w:ascii="宋体" w:hAnsi="宋体"/>
          <w:b/>
          <w:sz w:val="28"/>
        </w:rPr>
      </w:pPr>
    </w:p>
    <w:p>
      <w:pPr>
        <w:pStyle w:val="39"/>
        <w:spacing w:line="360" w:lineRule="auto"/>
        <w:ind w:firstLine="0" w:firstLineChars="0"/>
        <w:jc w:val="center"/>
        <w:rPr>
          <w:rFonts w:ascii="宋体" w:hAnsi="宋体"/>
          <w:b/>
          <w:sz w:val="28"/>
        </w:rPr>
      </w:pPr>
      <w:r>
        <w:rPr>
          <w:rFonts w:ascii="宋体" w:hAnsi="宋体"/>
          <w:b/>
          <w:sz w:val="28"/>
        </w:rPr>
        <w:br w:type="page"/>
      </w:r>
    </w:p>
    <w:p>
      <w:pPr>
        <w:pStyle w:val="5"/>
        <w:rPr>
          <w:rFonts w:ascii="宋体" w:hAnsi="宋体"/>
          <w:sz w:val="28"/>
        </w:rPr>
      </w:pPr>
      <w:bookmarkStart w:id="94" w:name="_Toc12165"/>
      <w:bookmarkStart w:id="95" w:name="_Toc26951"/>
      <w:bookmarkStart w:id="96" w:name="_Toc8259"/>
      <w:r>
        <w:rPr>
          <w:rStyle w:val="37"/>
          <w:rFonts w:hint="eastAsia"/>
          <w:b/>
          <w:bCs/>
        </w:rPr>
        <w:t>二、承诺函</w:t>
      </w:r>
      <w:bookmarkEnd w:id="94"/>
      <w:bookmarkEnd w:id="95"/>
      <w:bookmarkEnd w:id="96"/>
    </w:p>
    <w:p>
      <w:pPr>
        <w:spacing w:line="500" w:lineRule="exact"/>
        <w:ind w:left="480"/>
        <w:jc w:val="center"/>
        <w:rPr>
          <w:color w:val="FF0000"/>
          <w:sz w:val="28"/>
          <w:szCs w:val="24"/>
        </w:rPr>
      </w:pPr>
    </w:p>
    <w:p>
      <w:pPr>
        <w:spacing w:line="500" w:lineRule="exact"/>
        <w:rPr>
          <w:rFonts w:hint="eastAsia" w:ascii="宋体" w:hAnsi="宋体" w:eastAsia="宋体"/>
          <w:sz w:val="28"/>
          <w:szCs w:val="24"/>
          <w:lang w:eastAsia="zh-CN"/>
        </w:rPr>
      </w:pPr>
      <w:r>
        <w:rPr>
          <w:rFonts w:hint="eastAsia" w:ascii="宋体" w:hAnsi="宋体" w:eastAsia="宋体"/>
          <w:sz w:val="28"/>
          <w:szCs w:val="24"/>
        </w:rPr>
        <w:t>致：</w:t>
      </w:r>
      <w:r>
        <w:rPr>
          <w:rFonts w:hint="eastAsia" w:ascii="宋体" w:hAnsi="宋体" w:eastAsia="宋体"/>
          <w:sz w:val="28"/>
          <w:szCs w:val="24"/>
          <w:lang w:eastAsia="zh-CN"/>
        </w:rPr>
        <w:t>深圳市公安局刑事警察支队</w:t>
      </w:r>
    </w:p>
    <w:p>
      <w:pPr>
        <w:widowControl/>
        <w:spacing w:line="500" w:lineRule="exact"/>
        <w:ind w:firstLine="560" w:firstLineChars="200"/>
        <w:jc w:val="left"/>
        <w:rPr>
          <w:rFonts w:ascii="宋体" w:hAnsi="宋体" w:eastAsia="宋体"/>
          <w:sz w:val="28"/>
          <w:szCs w:val="24"/>
        </w:rPr>
      </w:pPr>
      <w:r>
        <w:rPr>
          <w:rFonts w:ascii="宋体" w:hAnsi="宋体" w:eastAsia="宋体"/>
          <w:sz w:val="28"/>
          <w:szCs w:val="24"/>
        </w:rPr>
        <w:t>我公司</w:t>
      </w:r>
      <w:r>
        <w:rPr>
          <w:rFonts w:hint="eastAsia" w:ascii="宋体" w:hAnsi="宋体" w:eastAsia="宋体"/>
          <w:sz w:val="28"/>
          <w:szCs w:val="24"/>
        </w:rPr>
        <w:t>申请参加编号为</w:t>
      </w:r>
      <w:r>
        <w:rPr>
          <w:rFonts w:hint="eastAsia" w:ascii="宋体" w:hAnsi="宋体" w:eastAsia="宋体" w:cs="宋体"/>
          <w:kern w:val="0"/>
          <w:sz w:val="28"/>
          <w:szCs w:val="24"/>
          <w:u w:val="single"/>
        </w:rPr>
        <w:t>CGXM2311170004</w:t>
      </w:r>
      <w:r>
        <w:rPr>
          <w:rFonts w:hint="eastAsia" w:ascii="宋体" w:hAnsi="宋体" w:eastAsia="宋体"/>
          <w:sz w:val="28"/>
          <w:szCs w:val="24"/>
        </w:rPr>
        <w:t>的项目竞价，并作出如下承诺：</w:t>
      </w:r>
    </w:p>
    <w:p>
      <w:pPr>
        <w:spacing w:line="500" w:lineRule="exact"/>
        <w:ind w:firstLine="560" w:firstLineChars="200"/>
        <w:rPr>
          <w:rFonts w:ascii="宋体" w:hAnsi="宋体" w:eastAsia="宋体"/>
          <w:sz w:val="28"/>
          <w:szCs w:val="24"/>
        </w:rPr>
      </w:pPr>
      <w:r>
        <w:rPr>
          <w:rFonts w:hint="eastAsia" w:ascii="宋体" w:hAnsi="宋体" w:eastAsia="宋体"/>
          <w:sz w:val="28"/>
          <w:szCs w:val="24"/>
        </w:rPr>
        <w:t>1、我公司已经详细研究并完全接受本次网上竞价项目的所有内容（包括竞价公告、竞价采购需求明细及竞价应答文件格式等），并承诺我公司本次投标能完全响应竞价要求。</w:t>
      </w:r>
    </w:p>
    <w:p>
      <w:pPr>
        <w:spacing w:line="500" w:lineRule="exact"/>
        <w:ind w:firstLine="560" w:firstLineChars="200"/>
        <w:rPr>
          <w:rFonts w:ascii="宋体" w:hAnsi="宋体" w:eastAsia="宋体"/>
          <w:sz w:val="28"/>
          <w:szCs w:val="24"/>
        </w:rPr>
      </w:pPr>
      <w:r>
        <w:rPr>
          <w:rFonts w:hint="eastAsia" w:ascii="宋体" w:hAnsi="宋体" w:eastAsia="宋体"/>
          <w:sz w:val="28"/>
          <w:szCs w:val="24"/>
        </w:rPr>
        <w:t>2、我公司具备竞价公告中要求的供应商资格及要求。</w:t>
      </w:r>
    </w:p>
    <w:p>
      <w:pPr>
        <w:spacing w:line="500" w:lineRule="exact"/>
        <w:ind w:firstLine="560" w:firstLineChars="200"/>
        <w:rPr>
          <w:rFonts w:ascii="宋体" w:hAnsi="宋体" w:eastAsia="宋体"/>
          <w:sz w:val="28"/>
          <w:szCs w:val="24"/>
        </w:rPr>
      </w:pPr>
      <w:r>
        <w:rPr>
          <w:rFonts w:hint="eastAsia" w:ascii="宋体" w:hAnsi="宋体" w:eastAsia="宋体"/>
          <w:sz w:val="28"/>
          <w:szCs w:val="24"/>
        </w:rPr>
        <w:t>3、我公司承诺近三年内无行贿犯罪记录。我公司参与本项目政府采购活动时不存在被有关部门禁止参与政府采购活动且在有效期内的情况。</w:t>
      </w:r>
    </w:p>
    <w:p>
      <w:pPr>
        <w:spacing w:line="500" w:lineRule="exact"/>
        <w:ind w:firstLine="560" w:firstLineChars="200"/>
        <w:rPr>
          <w:rFonts w:ascii="宋体" w:hAnsi="宋体" w:eastAsia="宋体"/>
          <w:sz w:val="28"/>
          <w:szCs w:val="24"/>
        </w:rPr>
      </w:pPr>
      <w:r>
        <w:rPr>
          <w:rFonts w:hint="eastAsia" w:ascii="宋体" w:hAnsi="宋体" w:eastAsia="宋体"/>
          <w:sz w:val="28"/>
          <w:szCs w:val="24"/>
        </w:rPr>
        <w:t>4、我公司承诺具备《中华人民共和国政府采购法》第二十二条第一款规定的条件。</w:t>
      </w:r>
    </w:p>
    <w:p>
      <w:pPr>
        <w:spacing w:line="500" w:lineRule="exact"/>
        <w:ind w:firstLine="560" w:firstLineChars="200"/>
        <w:rPr>
          <w:rFonts w:ascii="宋体" w:hAnsi="宋体" w:eastAsia="宋体"/>
          <w:sz w:val="28"/>
          <w:szCs w:val="24"/>
        </w:rPr>
      </w:pPr>
      <w:r>
        <w:rPr>
          <w:rFonts w:hint="eastAsia" w:ascii="宋体" w:hAnsi="宋体" w:eastAsia="宋体"/>
          <w:sz w:val="28"/>
          <w:szCs w:val="24"/>
        </w:rPr>
        <w:t>5、我公司未被列入失信被执行人、重大税收违法失信主体、政府采购严重违法失信行为记录名单。</w:t>
      </w:r>
    </w:p>
    <w:p>
      <w:pPr>
        <w:spacing w:line="500" w:lineRule="exact"/>
        <w:ind w:firstLine="560" w:firstLineChars="200"/>
        <w:rPr>
          <w:rFonts w:ascii="宋体" w:hAnsi="宋体" w:eastAsia="宋体"/>
          <w:sz w:val="28"/>
          <w:szCs w:val="24"/>
        </w:rPr>
      </w:pPr>
      <w:r>
        <w:rPr>
          <w:rFonts w:hint="eastAsia" w:ascii="宋体" w:hAnsi="宋体" w:eastAsia="宋体"/>
          <w:sz w:val="28"/>
          <w:szCs w:val="24"/>
        </w:rPr>
        <w:t>6、我公司不以联合体投标，不转包分包。</w:t>
      </w:r>
    </w:p>
    <w:p>
      <w:pPr>
        <w:spacing w:line="500" w:lineRule="exact"/>
        <w:ind w:firstLine="560" w:firstLineChars="200"/>
        <w:rPr>
          <w:rFonts w:ascii="宋体" w:hAnsi="宋体" w:eastAsia="宋体"/>
          <w:sz w:val="28"/>
          <w:szCs w:val="24"/>
        </w:rPr>
      </w:pPr>
      <w:r>
        <w:rPr>
          <w:rFonts w:hint="eastAsia" w:ascii="宋体" w:hAnsi="宋体" w:eastAsia="宋体"/>
          <w:sz w:val="28"/>
          <w:szCs w:val="24"/>
        </w:rPr>
        <w:t>7、我公司承诺依据《中华人民共和国政府采购法实施条例》第十八条规定，单位负责人为同一人或者存在直接控股、管理关系的不同供应商，不参加同一合同项下的政府采购活动。</w:t>
      </w:r>
    </w:p>
    <w:p>
      <w:pPr>
        <w:spacing w:line="500" w:lineRule="exact"/>
        <w:ind w:firstLine="560" w:firstLineChars="200"/>
        <w:rPr>
          <w:rFonts w:ascii="宋体" w:hAnsi="宋体" w:eastAsia="宋体"/>
          <w:sz w:val="28"/>
          <w:szCs w:val="24"/>
        </w:rPr>
      </w:pPr>
      <w:r>
        <w:rPr>
          <w:rFonts w:hint="eastAsia" w:ascii="宋体" w:hAnsi="宋体" w:eastAsia="宋体"/>
          <w:sz w:val="28"/>
          <w:szCs w:val="24"/>
        </w:rPr>
        <w:t>8、我公司保证对本竞价项目所提供的货物、服务未侵犯知识产权；保证在本项目竞价过程中不隐瞒真实情况，不提供虚假资料，不以非法手段排斥其他供应商参与竞争，不围标串标，不恶意质疑投诉，不向采购项目相关人行贿或者提供其他不当利益。我公司已清楚，如违反上述要求，将按《深圳经济特区政府采购条例》相关规定接受处罚。</w:t>
      </w:r>
    </w:p>
    <w:p>
      <w:pPr>
        <w:spacing w:line="500" w:lineRule="exact"/>
        <w:ind w:firstLine="560" w:firstLineChars="200"/>
        <w:rPr>
          <w:rFonts w:ascii="宋体" w:hAnsi="宋体" w:eastAsia="宋体"/>
          <w:sz w:val="28"/>
          <w:szCs w:val="24"/>
        </w:rPr>
      </w:pPr>
      <w:r>
        <w:rPr>
          <w:rFonts w:hint="eastAsia" w:ascii="宋体" w:hAnsi="宋体" w:eastAsia="宋体"/>
          <w:sz w:val="28"/>
          <w:szCs w:val="24"/>
        </w:rPr>
        <w:t>9、我公司如果成交，将保证履行本竞价项目中的所有要求（包括竞价公告、竞价采购需求明细及竞价应答文件格式等）规定的全部责任和义务，依法与采购人签订采购合同并按质、按量、按时完成履行合同义务。我公司已清楚，如违反该要求，将按《深圳经济特区政府采购条例》相关规定接受处罚。</w:t>
      </w:r>
    </w:p>
    <w:p>
      <w:pPr>
        <w:spacing w:line="500" w:lineRule="exact"/>
        <w:ind w:firstLine="560" w:firstLineChars="200"/>
        <w:rPr>
          <w:rFonts w:ascii="宋体" w:hAnsi="宋体" w:eastAsia="宋体"/>
          <w:sz w:val="28"/>
          <w:szCs w:val="24"/>
        </w:rPr>
      </w:pPr>
      <w:r>
        <w:rPr>
          <w:rFonts w:hint="eastAsia" w:ascii="宋体" w:hAnsi="宋体" w:eastAsia="宋体"/>
          <w:sz w:val="28"/>
          <w:szCs w:val="24"/>
        </w:rPr>
        <w:t>特此承诺！</w:t>
      </w:r>
    </w:p>
    <w:p>
      <w:pPr>
        <w:spacing w:line="500" w:lineRule="exact"/>
        <w:ind w:firstLine="560" w:firstLineChars="200"/>
        <w:rPr>
          <w:rFonts w:ascii="宋体" w:hAnsi="宋体" w:eastAsia="宋体"/>
          <w:sz w:val="28"/>
          <w:szCs w:val="24"/>
        </w:rPr>
      </w:pPr>
    </w:p>
    <w:p>
      <w:pPr>
        <w:snapToGrid w:val="0"/>
        <w:spacing w:line="500" w:lineRule="exact"/>
        <w:ind w:firstLine="4676" w:firstLineChars="1670"/>
        <w:rPr>
          <w:rFonts w:ascii="宋体" w:hAnsi="宋体" w:eastAsia="宋体"/>
          <w:sz w:val="28"/>
          <w:szCs w:val="24"/>
        </w:rPr>
      </w:pPr>
      <w:r>
        <w:rPr>
          <w:rFonts w:hint="eastAsia" w:ascii="宋体" w:hAnsi="宋体" w:eastAsia="宋体"/>
          <w:sz w:val="28"/>
          <w:szCs w:val="24"/>
        </w:rPr>
        <w:t xml:space="preserve">供应商（盖章）： </w:t>
      </w:r>
    </w:p>
    <w:p>
      <w:pPr>
        <w:snapToGrid w:val="0"/>
        <w:spacing w:line="500" w:lineRule="exact"/>
        <w:jc w:val="right"/>
        <w:rPr>
          <w:rFonts w:ascii="宋体" w:hAnsi="宋体" w:eastAsia="宋体" w:cs="Arial"/>
          <w:bCs/>
          <w:sz w:val="28"/>
          <w:szCs w:val="24"/>
        </w:rPr>
      </w:pPr>
      <w:r>
        <w:rPr>
          <w:rFonts w:hint="eastAsia" w:ascii="宋体" w:hAnsi="宋体" w:eastAsia="宋体" w:cs="Arial"/>
          <w:bCs/>
          <w:sz w:val="28"/>
          <w:szCs w:val="24"/>
        </w:rPr>
        <w:t>日  期：       年    月   日</w:t>
      </w:r>
    </w:p>
    <w:p>
      <w:pPr>
        <w:ind w:firstLine="420" w:firstLineChars="200"/>
        <w:rPr>
          <w:rFonts w:ascii="宋体" w:hAnsi="宋体"/>
        </w:rPr>
      </w:pPr>
    </w:p>
    <w:p>
      <w:pPr>
        <w:widowControl/>
        <w:jc w:val="left"/>
        <w:rPr>
          <w:rFonts w:ascii="宋体" w:hAnsi="宋体"/>
          <w:b/>
          <w:sz w:val="30"/>
          <w:szCs w:val="30"/>
        </w:rPr>
      </w:pPr>
      <w:r>
        <w:rPr>
          <w:rFonts w:ascii="宋体" w:hAnsi="宋体"/>
          <w:b/>
          <w:sz w:val="30"/>
          <w:szCs w:val="30"/>
        </w:rPr>
        <w:br w:type="page"/>
      </w:r>
    </w:p>
    <w:p>
      <w:pPr>
        <w:pStyle w:val="5"/>
        <w:rPr>
          <w:rStyle w:val="37"/>
          <w:b/>
          <w:bCs/>
        </w:rPr>
      </w:pPr>
      <w:bookmarkStart w:id="97" w:name="_Toc17259"/>
      <w:bookmarkStart w:id="98" w:name="_Toc17987"/>
      <w:bookmarkStart w:id="99" w:name="_Toc14725"/>
      <w:r>
        <w:rPr>
          <w:rStyle w:val="37"/>
          <w:rFonts w:hint="eastAsia"/>
          <w:b/>
          <w:bCs/>
        </w:rPr>
        <w:t>三、法定代表人资格证明书</w:t>
      </w:r>
      <w:bookmarkEnd w:id="97"/>
      <w:bookmarkEnd w:id="98"/>
      <w:bookmarkEnd w:id="99"/>
    </w:p>
    <w:p>
      <w:pPr>
        <w:spacing w:line="360" w:lineRule="auto"/>
        <w:ind w:firstLine="560" w:firstLineChars="200"/>
        <w:rPr>
          <w:rFonts w:ascii="宋体" w:hAnsi="宋体" w:eastAsia="宋体"/>
          <w:sz w:val="28"/>
        </w:rPr>
      </w:pPr>
      <w:r>
        <w:rPr>
          <w:rFonts w:hint="eastAsia" w:ascii="宋体" w:hAnsi="宋体" w:eastAsia="宋体"/>
          <w:sz w:val="28"/>
        </w:rPr>
        <w:t>单位名称：</w:t>
      </w:r>
    </w:p>
    <w:p>
      <w:pPr>
        <w:spacing w:line="360" w:lineRule="auto"/>
        <w:ind w:firstLine="560" w:firstLineChars="200"/>
        <w:rPr>
          <w:rFonts w:ascii="宋体" w:hAnsi="宋体" w:eastAsia="宋体"/>
          <w:sz w:val="28"/>
        </w:rPr>
      </w:pPr>
      <w:r>
        <w:rPr>
          <w:rFonts w:hint="eastAsia" w:ascii="宋体" w:hAnsi="宋体" w:eastAsia="宋体"/>
          <w:sz w:val="28"/>
        </w:rPr>
        <w:t>地    址：</w:t>
      </w:r>
    </w:p>
    <w:p>
      <w:pPr>
        <w:spacing w:line="360" w:lineRule="auto"/>
        <w:ind w:firstLine="560" w:firstLineChars="200"/>
        <w:rPr>
          <w:rFonts w:ascii="宋体" w:hAnsi="宋体" w:eastAsia="宋体"/>
          <w:sz w:val="28"/>
        </w:rPr>
      </w:pPr>
      <w:r>
        <w:rPr>
          <w:rFonts w:hint="eastAsia" w:ascii="宋体" w:hAnsi="宋体" w:eastAsia="宋体"/>
          <w:sz w:val="28"/>
        </w:rPr>
        <w:t>姓名：    性别：   年龄：    职务：</w:t>
      </w:r>
    </w:p>
    <w:p>
      <w:pPr>
        <w:spacing w:line="360" w:lineRule="auto"/>
        <w:ind w:firstLine="560" w:firstLineChars="200"/>
        <w:rPr>
          <w:rFonts w:ascii="宋体" w:hAnsi="宋体" w:eastAsia="宋体"/>
          <w:sz w:val="28"/>
        </w:rPr>
      </w:pPr>
      <w:r>
        <w:rPr>
          <w:rFonts w:hint="eastAsia" w:ascii="宋体" w:hAnsi="宋体" w:eastAsia="宋体"/>
          <w:sz w:val="28"/>
        </w:rPr>
        <w:t>系的法定代表人。为维护的项目，签署上述项目的报价文件、进行投标、签署合同和处理与之有关的一切事务。</w:t>
      </w:r>
    </w:p>
    <w:p>
      <w:pPr>
        <w:spacing w:line="360" w:lineRule="auto"/>
        <w:ind w:firstLine="560" w:firstLineChars="200"/>
        <w:rPr>
          <w:rFonts w:ascii="宋体" w:hAnsi="宋体" w:eastAsia="宋体"/>
          <w:sz w:val="28"/>
        </w:rPr>
      </w:pPr>
      <w:r>
        <w:rPr>
          <w:rFonts w:hint="eastAsia" w:ascii="宋体" w:hAnsi="宋体" w:eastAsia="宋体"/>
          <w:sz w:val="28"/>
        </w:rPr>
        <w:t>特此证明</w:t>
      </w:r>
    </w:p>
    <w:p>
      <w:pPr>
        <w:snapToGrid w:val="0"/>
        <w:spacing w:line="360" w:lineRule="auto"/>
        <w:rPr>
          <w:rFonts w:ascii="宋体" w:hAnsi="宋体" w:eastAsia="宋体"/>
          <w:sz w:val="28"/>
          <w:szCs w:val="21"/>
        </w:rPr>
      </w:pPr>
    </w:p>
    <w:p>
      <w:pPr>
        <w:snapToGrid w:val="0"/>
        <w:spacing w:line="360" w:lineRule="auto"/>
        <w:ind w:firstLine="4250" w:firstLineChars="1518"/>
        <w:rPr>
          <w:rFonts w:ascii="宋体" w:hAnsi="宋体" w:eastAsia="宋体"/>
          <w:sz w:val="28"/>
          <w:szCs w:val="21"/>
        </w:rPr>
      </w:pPr>
      <w:r>
        <w:rPr>
          <w:rFonts w:hint="eastAsia" w:ascii="宋体" w:hAnsi="宋体" w:eastAsia="宋体"/>
          <w:sz w:val="28"/>
          <w:szCs w:val="21"/>
        </w:rPr>
        <w:t xml:space="preserve">供应商（盖章）： </w:t>
      </w:r>
    </w:p>
    <w:p>
      <w:pPr>
        <w:snapToGrid w:val="0"/>
        <w:spacing w:line="360" w:lineRule="auto"/>
        <w:ind w:firstLine="4250" w:firstLineChars="1518"/>
        <w:rPr>
          <w:rFonts w:ascii="宋体" w:hAnsi="宋体" w:eastAsia="宋体" w:cs="Arial"/>
          <w:bCs/>
          <w:sz w:val="28"/>
          <w:szCs w:val="21"/>
        </w:rPr>
      </w:pPr>
      <w:r>
        <w:rPr>
          <w:rFonts w:hint="eastAsia" w:ascii="宋体" w:hAnsi="宋体" w:eastAsia="宋体" w:cs="Arial"/>
          <w:bCs/>
          <w:sz w:val="28"/>
          <w:szCs w:val="21"/>
        </w:rPr>
        <w:t>日  期：       年    月   日</w:t>
      </w:r>
    </w:p>
    <w:p>
      <w:pPr>
        <w:snapToGrid w:val="0"/>
        <w:ind w:firstLine="3570" w:firstLineChars="1700"/>
        <w:rPr>
          <w:rFonts w:ascii="宋体" w:hAnsi="宋体" w:cs="Arial"/>
          <w:bCs/>
          <w:szCs w:val="21"/>
        </w:rPr>
      </w:pPr>
    </w:p>
    <w:p>
      <w:pPr>
        <w:snapToGrid w:val="0"/>
        <w:ind w:left="735" w:hanging="735" w:hangingChars="350"/>
        <w:rPr>
          <w:rFonts w:ascii="宋体" w:hAnsi="宋体" w:eastAsia="宋体" w:cs="Arial"/>
          <w:bCs/>
          <w:szCs w:val="21"/>
        </w:rPr>
      </w:pPr>
      <w:r>
        <w:rPr>
          <w:rFonts w:hint="eastAsia" w:ascii="宋体" w:hAnsi="宋体" w:eastAsia="宋体" w:cs="Arial"/>
          <w:bCs/>
          <w:szCs w:val="21"/>
        </w:rPr>
        <w:t>说明：提供有效期内的法定代表人的身份证扫描件</w:t>
      </w:r>
    </w:p>
    <w:tbl>
      <w:tblPr>
        <w:tblStyle w:val="2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4" w:hRule="atLeast"/>
        </w:trPr>
        <w:tc>
          <w:tcPr>
            <w:tcW w:w="5000" w:type="pct"/>
            <w:tcBorders>
              <w:top w:val="dotted" w:color="auto" w:sz="4" w:space="0"/>
              <w:left w:val="dotted" w:color="auto" w:sz="4" w:space="0"/>
              <w:bottom w:val="dotted" w:color="auto" w:sz="4" w:space="0"/>
              <w:right w:val="dotted" w:color="auto" w:sz="4" w:space="0"/>
            </w:tcBorders>
            <w:vAlign w:val="center"/>
          </w:tcPr>
          <w:p>
            <w:pPr>
              <w:jc w:val="center"/>
              <w:rPr>
                <w:rFonts w:ascii="宋体" w:hAnsi="宋体" w:eastAsia="宋体"/>
                <w:color w:val="BFBFBF"/>
                <w:sz w:val="44"/>
              </w:rPr>
            </w:pPr>
            <w:r>
              <w:rPr>
                <w:rFonts w:hint="eastAsia" w:ascii="宋体" w:hAnsi="宋体" w:eastAsia="宋体"/>
                <w:color w:val="BFBFBF"/>
                <w:sz w:val="32"/>
              </w:rPr>
              <w:t>身份证扫描件</w:t>
            </w:r>
          </w:p>
        </w:tc>
      </w:tr>
    </w:tbl>
    <w:p>
      <w:pPr>
        <w:ind w:firstLine="420" w:firstLineChars="200"/>
        <w:rPr>
          <w:rFonts w:ascii="宋体" w:hAnsi="宋体"/>
        </w:rPr>
      </w:pPr>
    </w:p>
    <w:p>
      <w:pPr>
        <w:widowControl/>
        <w:jc w:val="left"/>
        <w:rPr>
          <w:rFonts w:ascii="宋体" w:hAnsi="宋体"/>
          <w:b/>
          <w:sz w:val="30"/>
          <w:szCs w:val="30"/>
        </w:rPr>
      </w:pPr>
      <w:r>
        <w:rPr>
          <w:rFonts w:ascii="宋体" w:hAnsi="宋体"/>
          <w:b/>
          <w:sz w:val="30"/>
          <w:szCs w:val="30"/>
        </w:rPr>
        <w:br w:type="page"/>
      </w:r>
    </w:p>
    <w:p>
      <w:pPr>
        <w:pStyle w:val="5"/>
        <w:rPr>
          <w:rStyle w:val="37"/>
          <w:b/>
          <w:bCs/>
        </w:rPr>
      </w:pPr>
      <w:bookmarkStart w:id="100" w:name="_Toc10794"/>
      <w:bookmarkStart w:id="101" w:name="_Toc20455"/>
      <w:bookmarkStart w:id="102" w:name="_Toc27127"/>
      <w:r>
        <w:rPr>
          <w:rStyle w:val="37"/>
          <w:rFonts w:hint="eastAsia"/>
          <w:b/>
          <w:bCs/>
        </w:rPr>
        <w:t>四、授权委托代理人联系方式</w:t>
      </w:r>
      <w:bookmarkEnd w:id="100"/>
      <w:bookmarkEnd w:id="101"/>
      <w:bookmarkEnd w:id="102"/>
    </w:p>
    <w:p>
      <w:pPr>
        <w:spacing w:line="360" w:lineRule="auto"/>
        <w:ind w:firstLine="560" w:firstLineChars="200"/>
        <w:rPr>
          <w:rFonts w:ascii="宋体" w:hAnsi="宋体" w:eastAsia="宋体"/>
          <w:sz w:val="28"/>
          <w:szCs w:val="28"/>
        </w:rPr>
      </w:pPr>
      <w:r>
        <w:rPr>
          <w:rFonts w:hint="eastAsia" w:ascii="宋体" w:hAnsi="宋体" w:eastAsia="宋体"/>
          <w:sz w:val="28"/>
          <w:szCs w:val="28"/>
        </w:rPr>
        <w:t>本授权委托书声明：我</w:t>
      </w:r>
      <w:r>
        <w:rPr>
          <w:rFonts w:hint="eastAsia" w:ascii="宋体" w:hAnsi="宋体" w:eastAsia="宋体"/>
          <w:sz w:val="28"/>
          <w:szCs w:val="28"/>
          <w:u w:val="single"/>
        </w:rPr>
        <w:t>（姓名）</w:t>
      </w:r>
      <w:r>
        <w:rPr>
          <w:rFonts w:hint="eastAsia" w:ascii="宋体" w:hAnsi="宋体" w:eastAsia="宋体"/>
          <w:sz w:val="28"/>
          <w:szCs w:val="28"/>
        </w:rPr>
        <w:t>系</w:t>
      </w:r>
      <w:r>
        <w:rPr>
          <w:rFonts w:hint="eastAsia" w:ascii="宋体" w:hAnsi="宋体" w:eastAsia="宋体"/>
          <w:sz w:val="28"/>
          <w:szCs w:val="28"/>
          <w:u w:val="single"/>
        </w:rPr>
        <w:t>（投标人名称）</w:t>
      </w:r>
      <w:r>
        <w:rPr>
          <w:rFonts w:hint="eastAsia" w:ascii="宋体" w:hAnsi="宋体" w:eastAsia="宋体"/>
          <w:sz w:val="28"/>
          <w:szCs w:val="28"/>
        </w:rPr>
        <w:t>的法定代表人，现授权委托</w:t>
      </w:r>
      <w:r>
        <w:rPr>
          <w:rFonts w:hint="eastAsia" w:ascii="宋体" w:hAnsi="宋体" w:eastAsia="宋体"/>
          <w:sz w:val="28"/>
          <w:szCs w:val="28"/>
          <w:u w:val="single"/>
        </w:rPr>
        <w:t>（姓名）</w:t>
      </w:r>
      <w:r>
        <w:rPr>
          <w:rFonts w:hint="eastAsia" w:ascii="宋体" w:hAnsi="宋体" w:eastAsia="宋体"/>
          <w:sz w:val="28"/>
          <w:szCs w:val="28"/>
        </w:rPr>
        <w:t>为我公司签署本项目已递交的竞价上传资料的法定代表人的授权委托代理人，代理人全权代表我所签署的本项目已递交的竞价上传资料内容我均承认。</w:t>
      </w:r>
    </w:p>
    <w:p>
      <w:pPr>
        <w:pStyle w:val="8"/>
        <w:spacing w:line="360" w:lineRule="auto"/>
        <w:rPr>
          <w:rFonts w:ascii="宋体" w:hAnsi="宋体" w:eastAsia="宋体"/>
          <w:sz w:val="28"/>
          <w:szCs w:val="28"/>
        </w:rPr>
      </w:pPr>
      <w:r>
        <w:rPr>
          <w:rFonts w:hint="eastAsia" w:ascii="宋体" w:hAnsi="宋体" w:eastAsia="宋体"/>
          <w:sz w:val="28"/>
          <w:szCs w:val="28"/>
        </w:rPr>
        <w:t>代理人无转委托权，特此委托。</w:t>
      </w:r>
    </w:p>
    <w:p>
      <w:pPr>
        <w:spacing w:line="360" w:lineRule="auto"/>
        <w:rPr>
          <w:rFonts w:ascii="宋体" w:hAnsi="宋体" w:eastAsia="宋体"/>
          <w:sz w:val="28"/>
          <w:szCs w:val="28"/>
        </w:rPr>
      </w:pPr>
    </w:p>
    <w:p>
      <w:pPr>
        <w:spacing w:line="360" w:lineRule="auto"/>
        <w:ind w:firstLine="719" w:firstLineChars="257"/>
        <w:rPr>
          <w:rFonts w:ascii="宋体" w:hAnsi="宋体" w:eastAsia="宋体"/>
          <w:sz w:val="28"/>
          <w:szCs w:val="28"/>
          <w:u w:val="single"/>
        </w:rPr>
      </w:pPr>
      <w:r>
        <w:rPr>
          <w:rFonts w:hint="eastAsia" w:ascii="宋体" w:hAnsi="宋体" w:eastAsia="宋体"/>
          <w:sz w:val="28"/>
          <w:szCs w:val="28"/>
        </w:rPr>
        <w:t>代理人：                  联系方式：</w:t>
      </w:r>
    </w:p>
    <w:p>
      <w:pPr>
        <w:spacing w:line="360" w:lineRule="auto"/>
        <w:ind w:firstLine="719" w:firstLineChars="257"/>
        <w:rPr>
          <w:rFonts w:ascii="宋体" w:hAnsi="宋体" w:eastAsia="宋体"/>
          <w:sz w:val="28"/>
          <w:szCs w:val="28"/>
        </w:rPr>
      </w:pPr>
      <w:r>
        <w:rPr>
          <w:rFonts w:hint="eastAsia" w:ascii="宋体" w:hAnsi="宋体" w:eastAsia="宋体"/>
          <w:sz w:val="28"/>
          <w:szCs w:val="28"/>
        </w:rPr>
        <w:t>投标人（盖章）：</w:t>
      </w:r>
    </w:p>
    <w:p>
      <w:pPr>
        <w:spacing w:line="360" w:lineRule="auto"/>
        <w:ind w:firstLine="719" w:firstLineChars="257"/>
        <w:rPr>
          <w:rFonts w:ascii="宋体" w:hAnsi="宋体" w:eastAsia="宋体"/>
          <w:sz w:val="28"/>
          <w:szCs w:val="28"/>
        </w:rPr>
      </w:pPr>
      <w:r>
        <w:rPr>
          <w:rFonts w:hint="eastAsia" w:ascii="宋体" w:hAnsi="宋体" w:eastAsia="宋体"/>
          <w:sz w:val="28"/>
          <w:szCs w:val="28"/>
        </w:rPr>
        <w:t>法定代表人：</w:t>
      </w:r>
    </w:p>
    <w:p>
      <w:pPr>
        <w:spacing w:line="360" w:lineRule="auto"/>
        <w:ind w:firstLine="719" w:firstLineChars="257"/>
        <w:rPr>
          <w:rFonts w:ascii="宋体" w:hAnsi="宋体" w:eastAsia="宋体"/>
          <w:sz w:val="28"/>
          <w:szCs w:val="28"/>
        </w:rPr>
      </w:pPr>
      <w:r>
        <w:rPr>
          <w:rFonts w:hint="eastAsia" w:ascii="宋体" w:hAnsi="宋体" w:eastAsia="宋体"/>
          <w:sz w:val="28"/>
          <w:szCs w:val="28"/>
        </w:rPr>
        <w:t>授权委托日期：    年    月     日</w:t>
      </w:r>
    </w:p>
    <w:p>
      <w:pPr>
        <w:ind w:firstLine="539" w:firstLineChars="257"/>
      </w:pPr>
    </w:p>
    <w:p>
      <w:pPr>
        <w:pStyle w:val="8"/>
        <w:ind w:firstLine="0"/>
        <w:rPr>
          <w:rFonts w:ascii="宋体" w:hAnsi="宋体" w:eastAsia="宋体"/>
          <w:szCs w:val="21"/>
        </w:rPr>
      </w:pPr>
      <w:r>
        <w:rPr>
          <w:rFonts w:hint="eastAsia" w:ascii="宋体" w:hAnsi="宋体" w:eastAsia="宋体"/>
          <w:szCs w:val="21"/>
        </w:rPr>
        <w:t>说明：提供有效期内的代理人的身份证扫描件。</w:t>
      </w:r>
    </w:p>
    <w:tbl>
      <w:tblPr>
        <w:tblStyle w:val="2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2" w:hRule="atLeast"/>
        </w:trPr>
        <w:tc>
          <w:tcPr>
            <w:tcW w:w="5000" w:type="pct"/>
            <w:tcBorders>
              <w:top w:val="dotted" w:color="auto" w:sz="4" w:space="0"/>
              <w:left w:val="dotted" w:color="auto" w:sz="4" w:space="0"/>
              <w:bottom w:val="dotted" w:color="auto" w:sz="4" w:space="0"/>
              <w:right w:val="dotted" w:color="auto" w:sz="4" w:space="0"/>
            </w:tcBorders>
            <w:vAlign w:val="center"/>
          </w:tcPr>
          <w:p>
            <w:pPr>
              <w:jc w:val="center"/>
              <w:rPr>
                <w:rFonts w:ascii="宋体" w:hAnsi="宋体" w:eastAsia="宋体"/>
                <w:color w:val="BFBFBF"/>
                <w:sz w:val="44"/>
              </w:rPr>
            </w:pPr>
            <w:r>
              <w:rPr>
                <w:rFonts w:hint="eastAsia" w:ascii="宋体" w:hAnsi="宋体" w:eastAsia="宋体"/>
                <w:color w:val="BFBFBF"/>
                <w:sz w:val="28"/>
              </w:rPr>
              <w:t>身份证扫描件</w:t>
            </w:r>
          </w:p>
        </w:tc>
      </w:tr>
    </w:tbl>
    <w:p>
      <w:pPr>
        <w:rPr>
          <w:rFonts w:ascii="宋体" w:hAnsi="宋体"/>
        </w:rPr>
      </w:pPr>
    </w:p>
    <w:p>
      <w:pPr>
        <w:widowControl/>
        <w:jc w:val="left"/>
        <w:rPr>
          <w:rFonts w:ascii="宋体" w:hAnsi="宋体"/>
          <w:b/>
          <w:sz w:val="30"/>
          <w:szCs w:val="30"/>
        </w:rPr>
      </w:pPr>
      <w:r>
        <w:rPr>
          <w:rFonts w:ascii="宋体" w:hAnsi="宋体"/>
          <w:b/>
          <w:sz w:val="30"/>
          <w:szCs w:val="30"/>
        </w:rPr>
        <w:br w:type="page"/>
      </w:r>
    </w:p>
    <w:p>
      <w:pPr>
        <w:pStyle w:val="5"/>
        <w:rPr>
          <w:rFonts w:ascii="宋体" w:hAnsi="宋体" w:cs="宋体"/>
          <w:sz w:val="24"/>
        </w:rPr>
      </w:pPr>
      <w:bookmarkStart w:id="103" w:name="_Toc6272"/>
      <w:bookmarkStart w:id="104" w:name="_Toc13337"/>
      <w:bookmarkStart w:id="105" w:name="_Toc1788"/>
      <w:r>
        <w:rPr>
          <w:rStyle w:val="37"/>
          <w:rFonts w:hint="eastAsia"/>
          <w:b/>
          <w:bCs/>
        </w:rPr>
        <w:t>五、商务条款偏离表</w:t>
      </w:r>
      <w:bookmarkEnd w:id="103"/>
      <w:bookmarkEnd w:id="104"/>
      <w:bookmarkEnd w:id="105"/>
    </w:p>
    <w:p>
      <w:pPr>
        <w:pStyle w:val="39"/>
        <w:spacing w:line="360" w:lineRule="auto"/>
        <w:ind w:firstLine="547" w:firstLineChars="228"/>
        <w:jc w:val="left"/>
      </w:pPr>
      <w:r>
        <w:rPr>
          <w:rFonts w:hint="eastAsia" w:ascii="宋体" w:hAnsi="宋体" w:cs="宋体"/>
          <w:sz w:val="24"/>
        </w:rPr>
        <w:t>请对照采购需求明细填写所投产品的商务条款响应情况，保证商务条款实质性响应竞价要求。“偏离情况”栏中应填写“正偏离”或“无偏离”，不接受“负偏离”。</w:t>
      </w:r>
    </w:p>
    <w:tbl>
      <w:tblPr>
        <w:tblStyle w:val="24"/>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4"/>
        <w:gridCol w:w="1475"/>
        <w:gridCol w:w="3098"/>
        <w:gridCol w:w="1706"/>
        <w:gridCol w:w="707"/>
        <w:gridCol w:w="7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3" w:type="pct"/>
            <w:shd w:val="clear" w:color="auto" w:fill="DCE6F2" w:themeFill="accent1" w:themeFillTint="32"/>
            <w:vAlign w:val="center"/>
          </w:tcPr>
          <w:p>
            <w:pPr>
              <w:spacing w:line="360" w:lineRule="auto"/>
              <w:jc w:val="center"/>
              <w:rPr>
                <w:rFonts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序号</w:t>
            </w:r>
          </w:p>
        </w:tc>
        <w:tc>
          <w:tcPr>
            <w:tcW w:w="885" w:type="pct"/>
            <w:shd w:val="clear" w:color="auto" w:fill="DCE6F2" w:themeFill="accent1" w:themeFillTint="32"/>
            <w:vAlign w:val="center"/>
          </w:tcPr>
          <w:p>
            <w:pPr>
              <w:spacing w:line="360" w:lineRule="auto"/>
              <w:jc w:val="center"/>
              <w:rPr>
                <w:rFonts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商务条款</w:t>
            </w:r>
          </w:p>
        </w:tc>
        <w:tc>
          <w:tcPr>
            <w:tcW w:w="1858" w:type="pct"/>
            <w:shd w:val="clear" w:color="auto" w:fill="DCE6F2" w:themeFill="accent1" w:themeFillTint="32"/>
            <w:vAlign w:val="center"/>
          </w:tcPr>
          <w:p>
            <w:pPr>
              <w:spacing w:line="276" w:lineRule="auto"/>
              <w:jc w:val="center"/>
              <w:rPr>
                <w:rFonts w:asciiTheme="majorEastAsia" w:hAnsiTheme="majorEastAsia" w:eastAsiaTheme="majorEastAsia" w:cstheme="majorEastAsia"/>
                <w:b/>
                <w:bCs/>
                <w:sz w:val="24"/>
                <w:szCs w:val="24"/>
              </w:rPr>
            </w:pPr>
            <w:r>
              <w:rPr>
                <w:rFonts w:hint="eastAsia" w:asciiTheme="minorEastAsia" w:hAnsiTheme="minorEastAsia" w:eastAsiaTheme="minorEastAsia" w:cstheme="minorBidi"/>
                <w:b/>
                <w:sz w:val="24"/>
                <w:szCs w:val="24"/>
              </w:rPr>
              <w:t>竞价文件商务要求</w:t>
            </w:r>
            <w:r>
              <w:rPr>
                <w:rFonts w:hint="eastAsia" w:asciiTheme="minorEastAsia" w:hAnsiTheme="minorEastAsia" w:eastAsiaTheme="minorEastAsia" w:cstheme="minorBidi"/>
                <w:b/>
                <w:sz w:val="24"/>
                <w:szCs w:val="24"/>
                <w:shd w:val="clear" w:color="auto" w:fill="DBE5F1"/>
              </w:rPr>
              <w:t>条款</w:t>
            </w:r>
          </w:p>
        </w:tc>
        <w:tc>
          <w:tcPr>
            <w:tcW w:w="1023" w:type="pct"/>
            <w:shd w:val="clear" w:color="auto" w:fill="DCE6F2" w:themeFill="accent1" w:themeFillTint="32"/>
            <w:vAlign w:val="center"/>
          </w:tcPr>
          <w:p>
            <w:pPr>
              <w:spacing w:line="276" w:lineRule="auto"/>
              <w:jc w:val="center"/>
              <w:rPr>
                <w:rFonts w:asciiTheme="majorEastAsia" w:hAnsiTheme="majorEastAsia" w:eastAsiaTheme="majorEastAsia" w:cstheme="majorEastAsia"/>
                <w:b/>
                <w:bCs/>
                <w:sz w:val="24"/>
                <w:szCs w:val="24"/>
              </w:rPr>
            </w:pPr>
            <w:r>
              <w:rPr>
                <w:rFonts w:hint="eastAsia" w:asciiTheme="minorEastAsia" w:hAnsiTheme="minorEastAsia" w:eastAsiaTheme="minorEastAsia" w:cstheme="minorBidi"/>
                <w:b/>
                <w:sz w:val="24"/>
                <w:szCs w:val="24"/>
              </w:rPr>
              <w:t>应答文件商务要求响应条款</w:t>
            </w:r>
          </w:p>
        </w:tc>
        <w:tc>
          <w:tcPr>
            <w:tcW w:w="424" w:type="pct"/>
            <w:shd w:val="clear" w:color="auto" w:fill="DCE6F2" w:themeFill="accent1" w:themeFillTint="32"/>
            <w:vAlign w:val="center"/>
          </w:tcPr>
          <w:p>
            <w:pPr>
              <w:spacing w:line="276" w:lineRule="auto"/>
              <w:jc w:val="center"/>
              <w:rPr>
                <w:rFonts w:asciiTheme="majorEastAsia" w:hAnsiTheme="majorEastAsia" w:eastAsiaTheme="majorEastAsia" w:cstheme="majorEastAsia"/>
                <w:b/>
                <w:bCs/>
                <w:sz w:val="24"/>
                <w:szCs w:val="24"/>
              </w:rPr>
            </w:pPr>
            <w:r>
              <w:rPr>
                <w:rFonts w:hint="eastAsia" w:asciiTheme="minorEastAsia" w:hAnsiTheme="minorEastAsia" w:eastAsiaTheme="minorEastAsia" w:cstheme="minorBidi"/>
                <w:b/>
                <w:sz w:val="24"/>
                <w:szCs w:val="24"/>
              </w:rPr>
              <w:t>偏离情况</w:t>
            </w:r>
          </w:p>
        </w:tc>
        <w:tc>
          <w:tcPr>
            <w:tcW w:w="473" w:type="pct"/>
            <w:shd w:val="clear" w:color="auto" w:fill="DCE6F2" w:themeFill="accent1" w:themeFillTint="32"/>
            <w:vAlign w:val="center"/>
          </w:tcPr>
          <w:p>
            <w:pPr>
              <w:spacing w:line="276" w:lineRule="auto"/>
              <w:jc w:val="center"/>
              <w:rPr>
                <w:rFonts w:asciiTheme="majorEastAsia" w:hAnsiTheme="majorEastAsia" w:eastAsiaTheme="majorEastAsia" w:cstheme="majorEastAsia"/>
                <w:b/>
                <w:bCs/>
                <w:sz w:val="24"/>
                <w:szCs w:val="24"/>
              </w:rPr>
            </w:pPr>
            <w:r>
              <w:rPr>
                <w:rFonts w:hint="eastAsia" w:asciiTheme="minorEastAsia" w:hAnsiTheme="minorEastAsia" w:eastAsiaTheme="minorEastAsia" w:cstheme="minorBidi"/>
                <w:b/>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3" w:type="pct"/>
            <w:vAlign w:val="center"/>
          </w:tcPr>
          <w:p>
            <w:pPr>
              <w:spacing w:line="360" w:lineRule="auto"/>
              <w:jc w:val="center"/>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1</w:t>
            </w:r>
          </w:p>
        </w:tc>
        <w:tc>
          <w:tcPr>
            <w:tcW w:w="1475" w:type="dxa"/>
            <w:vAlign w:val="center"/>
          </w:tcPr>
          <w:p>
            <w:pPr>
              <w:spacing w:line="360" w:lineRule="auto"/>
              <w:jc w:val="center"/>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服务期限</w:t>
            </w:r>
          </w:p>
        </w:tc>
        <w:tc>
          <w:tcPr>
            <w:tcW w:w="3098" w:type="dxa"/>
            <w:vAlign w:val="center"/>
          </w:tcPr>
          <w:p>
            <w:pPr>
              <w:spacing w:line="360" w:lineRule="auto"/>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本项目服务期限为12个月,以合同约定的开始及结束时间为准。</w:t>
            </w:r>
          </w:p>
        </w:tc>
        <w:tc>
          <w:tcPr>
            <w:tcW w:w="1023" w:type="pct"/>
            <w:vAlign w:val="center"/>
          </w:tcPr>
          <w:p>
            <w:pPr>
              <w:spacing w:line="360" w:lineRule="auto"/>
              <w:rPr>
                <w:rFonts w:asciiTheme="majorEastAsia" w:hAnsiTheme="majorEastAsia" w:eastAsiaTheme="majorEastAsia" w:cstheme="majorEastAsia"/>
                <w:sz w:val="24"/>
                <w:szCs w:val="24"/>
              </w:rPr>
            </w:pPr>
          </w:p>
        </w:tc>
        <w:tc>
          <w:tcPr>
            <w:tcW w:w="424" w:type="pct"/>
            <w:vAlign w:val="center"/>
          </w:tcPr>
          <w:p>
            <w:pPr>
              <w:spacing w:line="360" w:lineRule="auto"/>
              <w:rPr>
                <w:rFonts w:asciiTheme="majorEastAsia" w:hAnsiTheme="majorEastAsia" w:eastAsiaTheme="majorEastAsia" w:cstheme="majorEastAsia"/>
                <w:sz w:val="24"/>
                <w:szCs w:val="24"/>
              </w:rPr>
            </w:pPr>
          </w:p>
        </w:tc>
        <w:tc>
          <w:tcPr>
            <w:tcW w:w="473" w:type="pct"/>
            <w:vAlign w:val="center"/>
          </w:tcPr>
          <w:p>
            <w:pPr>
              <w:spacing w:line="360" w:lineRule="auto"/>
              <w:rPr>
                <w:rFonts w:asciiTheme="majorEastAsia" w:hAnsiTheme="majorEastAsia" w:eastAsiaTheme="majorEastAsia" w:cstheme="maj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3" w:type="pct"/>
            <w:vAlign w:val="center"/>
          </w:tcPr>
          <w:p>
            <w:pPr>
              <w:spacing w:line="360" w:lineRule="auto"/>
              <w:jc w:val="center"/>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2</w:t>
            </w:r>
          </w:p>
        </w:tc>
        <w:tc>
          <w:tcPr>
            <w:tcW w:w="1475" w:type="dxa"/>
            <w:vAlign w:val="center"/>
          </w:tcPr>
          <w:p>
            <w:pPr>
              <w:spacing w:line="360" w:lineRule="auto"/>
              <w:jc w:val="center"/>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项目服务地点</w:t>
            </w:r>
          </w:p>
        </w:tc>
        <w:tc>
          <w:tcPr>
            <w:tcW w:w="3098" w:type="dxa"/>
            <w:vAlign w:val="center"/>
          </w:tcPr>
          <w:p>
            <w:pPr>
              <w:spacing w:line="360" w:lineRule="auto"/>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采购人指定的地点。</w:t>
            </w:r>
          </w:p>
        </w:tc>
        <w:tc>
          <w:tcPr>
            <w:tcW w:w="1023" w:type="pct"/>
            <w:vAlign w:val="center"/>
          </w:tcPr>
          <w:p>
            <w:pPr>
              <w:spacing w:line="360" w:lineRule="auto"/>
              <w:rPr>
                <w:rFonts w:asciiTheme="majorEastAsia" w:hAnsiTheme="majorEastAsia" w:eastAsiaTheme="majorEastAsia" w:cstheme="majorEastAsia"/>
                <w:sz w:val="24"/>
                <w:szCs w:val="24"/>
              </w:rPr>
            </w:pPr>
          </w:p>
        </w:tc>
        <w:tc>
          <w:tcPr>
            <w:tcW w:w="424" w:type="pct"/>
            <w:vAlign w:val="center"/>
          </w:tcPr>
          <w:p>
            <w:pPr>
              <w:spacing w:line="360" w:lineRule="auto"/>
              <w:rPr>
                <w:rFonts w:asciiTheme="majorEastAsia" w:hAnsiTheme="majorEastAsia" w:eastAsiaTheme="majorEastAsia" w:cstheme="majorEastAsia"/>
                <w:sz w:val="24"/>
                <w:szCs w:val="24"/>
              </w:rPr>
            </w:pPr>
          </w:p>
        </w:tc>
        <w:tc>
          <w:tcPr>
            <w:tcW w:w="473" w:type="pct"/>
            <w:vAlign w:val="center"/>
          </w:tcPr>
          <w:p>
            <w:pPr>
              <w:spacing w:line="360" w:lineRule="auto"/>
              <w:rPr>
                <w:rFonts w:asciiTheme="majorEastAsia" w:hAnsiTheme="majorEastAsia" w:eastAsiaTheme="majorEastAsia" w:cstheme="maj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3" w:type="pct"/>
            <w:vAlign w:val="center"/>
          </w:tcPr>
          <w:p>
            <w:pPr>
              <w:spacing w:line="360" w:lineRule="auto"/>
              <w:jc w:val="center"/>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3</w:t>
            </w:r>
          </w:p>
        </w:tc>
        <w:tc>
          <w:tcPr>
            <w:tcW w:w="1475" w:type="dxa"/>
            <w:vAlign w:val="center"/>
          </w:tcPr>
          <w:p>
            <w:pPr>
              <w:spacing w:line="360" w:lineRule="auto"/>
              <w:jc w:val="center"/>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报价要求</w:t>
            </w:r>
          </w:p>
        </w:tc>
        <w:tc>
          <w:tcPr>
            <w:tcW w:w="3098" w:type="dxa"/>
            <w:vAlign w:val="center"/>
          </w:tcPr>
          <w:p>
            <w:pPr>
              <w:spacing w:line="360" w:lineRule="auto"/>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本项目服务费采用包干制，包括但不限于项目服务成本、法定税费和企业利润等一切费用。</w:t>
            </w:r>
          </w:p>
        </w:tc>
        <w:tc>
          <w:tcPr>
            <w:tcW w:w="1023" w:type="pct"/>
            <w:vAlign w:val="center"/>
          </w:tcPr>
          <w:p>
            <w:pPr>
              <w:spacing w:line="360" w:lineRule="auto"/>
              <w:rPr>
                <w:rFonts w:asciiTheme="majorEastAsia" w:hAnsiTheme="majorEastAsia" w:eastAsiaTheme="majorEastAsia" w:cstheme="majorEastAsia"/>
                <w:bCs/>
                <w:sz w:val="24"/>
                <w:szCs w:val="24"/>
              </w:rPr>
            </w:pPr>
          </w:p>
        </w:tc>
        <w:tc>
          <w:tcPr>
            <w:tcW w:w="424" w:type="pct"/>
            <w:vAlign w:val="center"/>
          </w:tcPr>
          <w:p>
            <w:pPr>
              <w:spacing w:line="360" w:lineRule="auto"/>
              <w:rPr>
                <w:rFonts w:asciiTheme="majorEastAsia" w:hAnsiTheme="majorEastAsia" w:eastAsiaTheme="majorEastAsia" w:cstheme="majorEastAsia"/>
                <w:bCs/>
                <w:sz w:val="24"/>
                <w:szCs w:val="24"/>
              </w:rPr>
            </w:pPr>
          </w:p>
        </w:tc>
        <w:tc>
          <w:tcPr>
            <w:tcW w:w="473" w:type="pct"/>
            <w:vAlign w:val="center"/>
          </w:tcPr>
          <w:p>
            <w:pPr>
              <w:spacing w:line="360" w:lineRule="auto"/>
              <w:rPr>
                <w:rFonts w:asciiTheme="majorEastAsia" w:hAnsiTheme="majorEastAsia" w:eastAsiaTheme="majorEastAsia" w:cstheme="majorEastAsia"/>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3" w:type="pct"/>
            <w:vAlign w:val="center"/>
          </w:tcPr>
          <w:p>
            <w:pPr>
              <w:spacing w:line="360" w:lineRule="auto"/>
              <w:jc w:val="center"/>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4</w:t>
            </w:r>
          </w:p>
        </w:tc>
        <w:tc>
          <w:tcPr>
            <w:tcW w:w="1475" w:type="dxa"/>
            <w:vAlign w:val="center"/>
          </w:tcPr>
          <w:p>
            <w:pPr>
              <w:spacing w:line="360" w:lineRule="auto"/>
              <w:jc w:val="center"/>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验收要求</w:t>
            </w:r>
          </w:p>
        </w:tc>
        <w:tc>
          <w:tcPr>
            <w:tcW w:w="3098" w:type="dxa"/>
            <w:vAlign w:val="center"/>
          </w:tcPr>
          <w:p>
            <w:pPr>
              <w:tabs>
                <w:tab w:val="right" w:pos="709"/>
              </w:tabs>
              <w:spacing w:line="360" w:lineRule="auto"/>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1、中标供应商须按照采购人要求做好理化检验设备维保服务等各项工作。</w:t>
            </w:r>
          </w:p>
          <w:p>
            <w:pPr>
              <w:tabs>
                <w:tab w:val="right" w:pos="709"/>
              </w:tabs>
              <w:spacing w:line="360" w:lineRule="auto"/>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2、合同结束后，参照例行维护项目内容，对1年合同期内维保服务进行验收。</w:t>
            </w:r>
          </w:p>
        </w:tc>
        <w:tc>
          <w:tcPr>
            <w:tcW w:w="1023" w:type="pct"/>
            <w:vAlign w:val="center"/>
          </w:tcPr>
          <w:p>
            <w:pPr>
              <w:tabs>
                <w:tab w:val="right" w:pos="709"/>
              </w:tabs>
              <w:spacing w:line="360" w:lineRule="auto"/>
              <w:rPr>
                <w:rFonts w:asciiTheme="majorEastAsia" w:hAnsiTheme="majorEastAsia" w:eastAsiaTheme="majorEastAsia" w:cstheme="majorEastAsia"/>
                <w:sz w:val="24"/>
                <w:szCs w:val="24"/>
              </w:rPr>
            </w:pPr>
          </w:p>
        </w:tc>
        <w:tc>
          <w:tcPr>
            <w:tcW w:w="424" w:type="pct"/>
            <w:vAlign w:val="center"/>
          </w:tcPr>
          <w:p>
            <w:pPr>
              <w:tabs>
                <w:tab w:val="right" w:pos="709"/>
              </w:tabs>
              <w:spacing w:line="360" w:lineRule="auto"/>
              <w:rPr>
                <w:rFonts w:asciiTheme="majorEastAsia" w:hAnsiTheme="majorEastAsia" w:eastAsiaTheme="majorEastAsia" w:cstheme="majorEastAsia"/>
                <w:sz w:val="24"/>
                <w:szCs w:val="24"/>
              </w:rPr>
            </w:pPr>
          </w:p>
        </w:tc>
        <w:tc>
          <w:tcPr>
            <w:tcW w:w="473" w:type="pct"/>
            <w:vAlign w:val="center"/>
          </w:tcPr>
          <w:p>
            <w:pPr>
              <w:tabs>
                <w:tab w:val="right" w:pos="709"/>
              </w:tabs>
              <w:spacing w:line="360" w:lineRule="auto"/>
              <w:rPr>
                <w:rFonts w:asciiTheme="majorEastAsia" w:hAnsiTheme="majorEastAsia" w:eastAsiaTheme="majorEastAsia" w:cstheme="maj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3" w:type="pct"/>
            <w:vAlign w:val="center"/>
          </w:tcPr>
          <w:p>
            <w:pPr>
              <w:spacing w:line="360" w:lineRule="auto"/>
              <w:jc w:val="center"/>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5</w:t>
            </w:r>
          </w:p>
        </w:tc>
        <w:tc>
          <w:tcPr>
            <w:tcW w:w="1475" w:type="dxa"/>
            <w:vAlign w:val="center"/>
          </w:tcPr>
          <w:p>
            <w:pPr>
              <w:spacing w:line="360" w:lineRule="auto"/>
              <w:jc w:val="center"/>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付款方式</w:t>
            </w:r>
          </w:p>
        </w:tc>
        <w:tc>
          <w:tcPr>
            <w:tcW w:w="3098" w:type="dxa"/>
            <w:vAlign w:val="center"/>
          </w:tcPr>
          <w:p>
            <w:pPr>
              <w:spacing w:line="360" w:lineRule="auto"/>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（1）签订合同后30个工作日内采购人支付中标供应商合同总价金额的70%；</w:t>
            </w:r>
            <w:r>
              <w:rPr>
                <w:rFonts w:hint="eastAsia" w:asciiTheme="majorEastAsia" w:hAnsiTheme="majorEastAsia" w:eastAsiaTheme="majorEastAsia" w:cstheme="majorEastAsia"/>
                <w:sz w:val="24"/>
                <w:szCs w:val="24"/>
              </w:rPr>
              <w:br w:type="textWrapping"/>
            </w:r>
            <w:r>
              <w:rPr>
                <w:rFonts w:hint="eastAsia" w:asciiTheme="majorEastAsia" w:hAnsiTheme="majorEastAsia" w:eastAsiaTheme="majorEastAsia" w:cstheme="majorEastAsia"/>
                <w:sz w:val="24"/>
                <w:szCs w:val="24"/>
              </w:rPr>
              <w:t>（2）在服务期6个月内再支付合同总价金额的25%，合同期满通过验收合格后30个工作日内再支付合同总价金额的5%。</w:t>
            </w:r>
            <w:r>
              <w:rPr>
                <w:rFonts w:hint="eastAsia" w:asciiTheme="majorEastAsia" w:hAnsiTheme="majorEastAsia" w:eastAsiaTheme="majorEastAsia" w:cstheme="majorEastAsia"/>
                <w:sz w:val="24"/>
                <w:szCs w:val="24"/>
              </w:rPr>
              <w:br w:type="textWrapping"/>
            </w:r>
            <w:r>
              <w:rPr>
                <w:rFonts w:hint="eastAsia" w:asciiTheme="majorEastAsia" w:hAnsiTheme="majorEastAsia" w:eastAsiaTheme="majorEastAsia" w:cstheme="majorEastAsia"/>
                <w:sz w:val="24"/>
                <w:szCs w:val="24"/>
              </w:rPr>
              <w:t>因财政资金未能及时拨付到位导致采购人无法按时支付相应价款给中标供应商，中标供应商表示谅解，并同意不视为采购人违约，不由此追究采购人的违约责任。</w:t>
            </w:r>
          </w:p>
        </w:tc>
        <w:tc>
          <w:tcPr>
            <w:tcW w:w="1023" w:type="pct"/>
            <w:vAlign w:val="center"/>
          </w:tcPr>
          <w:p>
            <w:pPr>
              <w:spacing w:line="360" w:lineRule="auto"/>
              <w:rPr>
                <w:rFonts w:asciiTheme="majorEastAsia" w:hAnsiTheme="majorEastAsia" w:eastAsiaTheme="majorEastAsia" w:cstheme="majorEastAsia"/>
                <w:sz w:val="24"/>
                <w:szCs w:val="24"/>
              </w:rPr>
            </w:pPr>
          </w:p>
        </w:tc>
        <w:tc>
          <w:tcPr>
            <w:tcW w:w="424" w:type="pct"/>
            <w:vAlign w:val="center"/>
          </w:tcPr>
          <w:p>
            <w:pPr>
              <w:spacing w:line="360" w:lineRule="auto"/>
              <w:rPr>
                <w:rFonts w:asciiTheme="majorEastAsia" w:hAnsiTheme="majorEastAsia" w:eastAsiaTheme="majorEastAsia" w:cstheme="majorEastAsia"/>
                <w:sz w:val="24"/>
                <w:szCs w:val="24"/>
              </w:rPr>
            </w:pPr>
          </w:p>
        </w:tc>
        <w:tc>
          <w:tcPr>
            <w:tcW w:w="473" w:type="pct"/>
            <w:vAlign w:val="center"/>
          </w:tcPr>
          <w:p>
            <w:pPr>
              <w:spacing w:line="360" w:lineRule="auto"/>
              <w:rPr>
                <w:rFonts w:asciiTheme="majorEastAsia" w:hAnsiTheme="majorEastAsia" w:eastAsiaTheme="majorEastAsia" w:cstheme="maj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3" w:type="pct"/>
            <w:vAlign w:val="center"/>
          </w:tcPr>
          <w:p>
            <w:pPr>
              <w:spacing w:line="360" w:lineRule="auto"/>
              <w:jc w:val="center"/>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6</w:t>
            </w:r>
          </w:p>
        </w:tc>
        <w:tc>
          <w:tcPr>
            <w:tcW w:w="1475" w:type="dxa"/>
            <w:vAlign w:val="center"/>
          </w:tcPr>
          <w:p>
            <w:pPr>
              <w:spacing w:line="360" w:lineRule="auto"/>
              <w:jc w:val="center"/>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付款要求</w:t>
            </w:r>
          </w:p>
        </w:tc>
        <w:tc>
          <w:tcPr>
            <w:tcW w:w="3098" w:type="dxa"/>
            <w:vAlign w:val="center"/>
          </w:tcPr>
          <w:p>
            <w:pPr>
              <w:spacing w:line="360" w:lineRule="auto"/>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收款方、出具发票方、合同乙方均必须与中标供应商名称一致。中标供应商应当提前至少10个工作日向采购人申请付款，且必须附上相应的发票。</w:t>
            </w:r>
          </w:p>
        </w:tc>
        <w:tc>
          <w:tcPr>
            <w:tcW w:w="1023" w:type="pct"/>
            <w:vAlign w:val="center"/>
          </w:tcPr>
          <w:p>
            <w:pPr>
              <w:spacing w:line="360" w:lineRule="auto"/>
              <w:rPr>
                <w:rFonts w:asciiTheme="majorEastAsia" w:hAnsiTheme="majorEastAsia" w:eastAsiaTheme="majorEastAsia" w:cstheme="majorEastAsia"/>
                <w:sz w:val="24"/>
                <w:szCs w:val="24"/>
              </w:rPr>
            </w:pPr>
          </w:p>
        </w:tc>
        <w:tc>
          <w:tcPr>
            <w:tcW w:w="424" w:type="pct"/>
            <w:vAlign w:val="center"/>
          </w:tcPr>
          <w:p>
            <w:pPr>
              <w:spacing w:line="360" w:lineRule="auto"/>
              <w:rPr>
                <w:rFonts w:asciiTheme="majorEastAsia" w:hAnsiTheme="majorEastAsia" w:eastAsiaTheme="majorEastAsia" w:cstheme="majorEastAsia"/>
                <w:sz w:val="24"/>
                <w:szCs w:val="24"/>
              </w:rPr>
            </w:pPr>
          </w:p>
        </w:tc>
        <w:tc>
          <w:tcPr>
            <w:tcW w:w="473" w:type="pct"/>
            <w:vAlign w:val="center"/>
          </w:tcPr>
          <w:p>
            <w:pPr>
              <w:spacing w:line="360" w:lineRule="auto"/>
              <w:rPr>
                <w:rFonts w:asciiTheme="majorEastAsia" w:hAnsiTheme="majorEastAsia" w:eastAsiaTheme="majorEastAsia" w:cstheme="maj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3" w:type="pct"/>
            <w:vAlign w:val="center"/>
          </w:tcPr>
          <w:p>
            <w:pPr>
              <w:spacing w:line="360" w:lineRule="auto"/>
              <w:jc w:val="center"/>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7</w:t>
            </w:r>
          </w:p>
        </w:tc>
        <w:tc>
          <w:tcPr>
            <w:tcW w:w="1475" w:type="dxa"/>
            <w:vAlign w:val="center"/>
          </w:tcPr>
          <w:p>
            <w:pPr>
              <w:spacing w:line="360" w:lineRule="auto"/>
              <w:jc w:val="center"/>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违约金</w:t>
            </w:r>
          </w:p>
        </w:tc>
        <w:tc>
          <w:tcPr>
            <w:tcW w:w="3098" w:type="dxa"/>
            <w:vAlign w:val="center"/>
          </w:tcPr>
          <w:p>
            <w:pPr>
              <w:tabs>
                <w:tab w:val="right" w:pos="709"/>
              </w:tabs>
              <w:spacing w:line="360" w:lineRule="auto"/>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中标供应商如未能按竞价文件要求完成本项目的相关工作，履约评价为差的视为违约，违约金不得低于合同总金额的5%。</w:t>
            </w:r>
          </w:p>
        </w:tc>
        <w:tc>
          <w:tcPr>
            <w:tcW w:w="1023" w:type="pct"/>
            <w:vAlign w:val="center"/>
          </w:tcPr>
          <w:p>
            <w:pPr>
              <w:tabs>
                <w:tab w:val="right" w:pos="709"/>
              </w:tabs>
              <w:spacing w:line="360" w:lineRule="auto"/>
              <w:rPr>
                <w:rFonts w:asciiTheme="majorEastAsia" w:hAnsiTheme="majorEastAsia" w:eastAsiaTheme="majorEastAsia" w:cstheme="majorEastAsia"/>
                <w:sz w:val="24"/>
                <w:szCs w:val="24"/>
              </w:rPr>
            </w:pPr>
          </w:p>
        </w:tc>
        <w:tc>
          <w:tcPr>
            <w:tcW w:w="424" w:type="pct"/>
            <w:vAlign w:val="center"/>
          </w:tcPr>
          <w:p>
            <w:pPr>
              <w:tabs>
                <w:tab w:val="right" w:pos="709"/>
              </w:tabs>
              <w:spacing w:line="360" w:lineRule="auto"/>
              <w:rPr>
                <w:rFonts w:asciiTheme="majorEastAsia" w:hAnsiTheme="majorEastAsia" w:eastAsiaTheme="majorEastAsia" w:cstheme="majorEastAsia"/>
                <w:sz w:val="24"/>
                <w:szCs w:val="24"/>
              </w:rPr>
            </w:pPr>
          </w:p>
        </w:tc>
        <w:tc>
          <w:tcPr>
            <w:tcW w:w="473" w:type="pct"/>
            <w:vAlign w:val="center"/>
          </w:tcPr>
          <w:p>
            <w:pPr>
              <w:tabs>
                <w:tab w:val="right" w:pos="709"/>
              </w:tabs>
              <w:spacing w:line="360" w:lineRule="auto"/>
              <w:rPr>
                <w:rFonts w:asciiTheme="majorEastAsia" w:hAnsiTheme="majorEastAsia" w:eastAsiaTheme="majorEastAsia" w:cstheme="maj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3" w:type="pct"/>
            <w:vAlign w:val="center"/>
          </w:tcPr>
          <w:p>
            <w:pPr>
              <w:spacing w:line="360" w:lineRule="auto"/>
              <w:jc w:val="center"/>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8</w:t>
            </w:r>
          </w:p>
        </w:tc>
        <w:tc>
          <w:tcPr>
            <w:tcW w:w="1475" w:type="dxa"/>
            <w:vAlign w:val="center"/>
          </w:tcPr>
          <w:p>
            <w:pPr>
              <w:spacing w:line="360" w:lineRule="auto"/>
              <w:jc w:val="center"/>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售后服务要求</w:t>
            </w:r>
          </w:p>
        </w:tc>
        <w:tc>
          <w:tcPr>
            <w:tcW w:w="3098" w:type="dxa"/>
            <w:vAlign w:val="center"/>
          </w:tcPr>
          <w:p>
            <w:pPr>
              <w:spacing w:line="360" w:lineRule="auto"/>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每项服务要求按具体的服务内容执行。</w:t>
            </w:r>
          </w:p>
        </w:tc>
        <w:tc>
          <w:tcPr>
            <w:tcW w:w="1023" w:type="pct"/>
            <w:vAlign w:val="center"/>
          </w:tcPr>
          <w:p>
            <w:pPr>
              <w:spacing w:line="360" w:lineRule="auto"/>
              <w:rPr>
                <w:rFonts w:asciiTheme="majorEastAsia" w:hAnsiTheme="majorEastAsia" w:eastAsiaTheme="majorEastAsia" w:cstheme="majorEastAsia"/>
                <w:sz w:val="24"/>
                <w:szCs w:val="24"/>
              </w:rPr>
            </w:pPr>
          </w:p>
        </w:tc>
        <w:tc>
          <w:tcPr>
            <w:tcW w:w="424" w:type="pct"/>
            <w:vAlign w:val="center"/>
          </w:tcPr>
          <w:p>
            <w:pPr>
              <w:spacing w:line="360" w:lineRule="auto"/>
              <w:rPr>
                <w:rFonts w:asciiTheme="majorEastAsia" w:hAnsiTheme="majorEastAsia" w:eastAsiaTheme="majorEastAsia" w:cstheme="majorEastAsia"/>
                <w:sz w:val="24"/>
                <w:szCs w:val="24"/>
              </w:rPr>
            </w:pPr>
          </w:p>
        </w:tc>
        <w:tc>
          <w:tcPr>
            <w:tcW w:w="473" w:type="pct"/>
            <w:vAlign w:val="center"/>
          </w:tcPr>
          <w:p>
            <w:pPr>
              <w:spacing w:line="360" w:lineRule="auto"/>
              <w:rPr>
                <w:rFonts w:asciiTheme="majorEastAsia" w:hAnsiTheme="majorEastAsia" w:eastAsiaTheme="majorEastAsia" w:cstheme="majorEastAsia"/>
                <w:sz w:val="24"/>
                <w:szCs w:val="24"/>
              </w:rPr>
            </w:pPr>
          </w:p>
        </w:tc>
      </w:tr>
    </w:tbl>
    <w:p>
      <w:pPr>
        <w:pStyle w:val="3"/>
      </w:pPr>
    </w:p>
    <w:p>
      <w:pPr>
        <w:pStyle w:val="39"/>
        <w:spacing w:line="360" w:lineRule="auto"/>
        <w:ind w:firstLine="0" w:firstLineChars="0"/>
        <w:jc w:val="left"/>
        <w:rPr>
          <w:rFonts w:ascii="宋体" w:hAnsi="宋体" w:cs="宋体"/>
          <w:sz w:val="24"/>
        </w:rPr>
      </w:pPr>
      <w:r>
        <w:rPr>
          <w:rFonts w:hint="eastAsia" w:ascii="宋体" w:hAnsi="宋体" w:cs="宋体"/>
          <w:sz w:val="24"/>
        </w:rPr>
        <w:t>注：供应商需</w:t>
      </w:r>
      <w:r>
        <w:rPr>
          <w:rFonts w:hint="eastAsia" w:ascii="宋体" w:hAnsi="宋体"/>
          <w:b/>
          <w:sz w:val="24"/>
        </w:rPr>
        <w:t>逐项完整填写</w:t>
      </w:r>
      <w:r>
        <w:rPr>
          <w:rFonts w:hint="eastAsia" w:ascii="宋体" w:hAnsi="宋体" w:cs="宋体"/>
          <w:sz w:val="24"/>
        </w:rPr>
        <w:t>，</w:t>
      </w:r>
      <w:r>
        <w:rPr>
          <w:rFonts w:hint="eastAsia" w:ascii="宋体" w:hAnsi="宋体"/>
          <w:sz w:val="24"/>
        </w:rPr>
        <w:t>应答文件响应条款</w:t>
      </w:r>
      <w:r>
        <w:rPr>
          <w:rFonts w:hint="eastAsia" w:ascii="宋体" w:hAnsi="宋体"/>
          <w:b/>
          <w:sz w:val="24"/>
        </w:rPr>
        <w:t>不得</w:t>
      </w:r>
      <w:r>
        <w:rPr>
          <w:rFonts w:hint="eastAsia" w:ascii="宋体" w:hAnsi="宋体"/>
          <w:sz w:val="24"/>
        </w:rPr>
        <w:t>简单填写“响应”或“完全响应”</w:t>
      </w:r>
      <w:r>
        <w:rPr>
          <w:rFonts w:hint="eastAsia" w:ascii="宋体" w:hAnsi="宋体" w:cs="宋体"/>
          <w:sz w:val="24"/>
        </w:rPr>
        <w:t>。</w:t>
      </w:r>
    </w:p>
    <w:p>
      <w:pPr>
        <w:pStyle w:val="39"/>
        <w:spacing w:line="360" w:lineRule="auto"/>
        <w:ind w:firstLine="0" w:firstLineChars="0"/>
        <w:jc w:val="left"/>
        <w:rPr>
          <w:rFonts w:ascii="宋体" w:hAnsi="宋体" w:cs="宋体"/>
          <w:color w:val="FF0000"/>
          <w:sz w:val="24"/>
        </w:rPr>
      </w:pPr>
      <w:r>
        <w:rPr>
          <w:rFonts w:hint="eastAsia" w:ascii="宋体" w:hAnsi="宋体" w:cs="宋体"/>
          <w:sz w:val="24"/>
        </w:rPr>
        <w:t>供应商须对上述条款逐条响应，如有一条负偏离视为未实质性响应，</w:t>
      </w:r>
      <w:r>
        <w:rPr>
          <w:rFonts w:hint="eastAsia" w:ascii="宋体" w:hAnsi="宋体" w:cs="宋体"/>
          <w:b/>
          <w:color w:val="FF0000"/>
          <w:sz w:val="24"/>
        </w:rPr>
        <w:t>做投标无效处理</w:t>
      </w:r>
      <w:r>
        <w:rPr>
          <w:rFonts w:hint="eastAsia" w:ascii="宋体" w:hAnsi="宋体" w:cs="宋体"/>
          <w:color w:val="FF0000"/>
          <w:sz w:val="24"/>
        </w:rPr>
        <w:t>。</w:t>
      </w:r>
    </w:p>
    <w:p>
      <w:pPr>
        <w:rPr>
          <w:rFonts w:ascii="宋体" w:hAnsi="宋体" w:eastAsia="宋体"/>
          <w:sz w:val="24"/>
        </w:rPr>
      </w:pPr>
    </w:p>
    <w:p>
      <w:pPr>
        <w:rPr>
          <w:rFonts w:ascii="宋体" w:hAnsi="宋体" w:cs="宋体"/>
          <w:szCs w:val="21"/>
        </w:rPr>
      </w:pPr>
    </w:p>
    <w:p>
      <w:pPr>
        <w:snapToGrid w:val="0"/>
        <w:spacing w:line="360" w:lineRule="auto"/>
        <w:ind w:firstLine="4008" w:firstLineChars="1670"/>
        <w:rPr>
          <w:rFonts w:ascii="宋体" w:hAnsi="宋体" w:eastAsia="宋体"/>
          <w:sz w:val="24"/>
          <w:szCs w:val="24"/>
        </w:rPr>
      </w:pPr>
      <w:r>
        <w:rPr>
          <w:rFonts w:hint="eastAsia" w:ascii="宋体" w:hAnsi="宋体" w:eastAsia="宋体"/>
          <w:sz w:val="24"/>
          <w:szCs w:val="24"/>
        </w:rPr>
        <w:t xml:space="preserve">供应商（盖章）： </w:t>
      </w:r>
    </w:p>
    <w:p>
      <w:pPr>
        <w:snapToGrid w:val="0"/>
        <w:spacing w:line="360" w:lineRule="auto"/>
        <w:ind w:firstLine="4008" w:firstLineChars="1670"/>
        <w:rPr>
          <w:rFonts w:ascii="宋体" w:hAnsi="宋体" w:eastAsia="宋体" w:cs="Arial"/>
          <w:bCs/>
          <w:sz w:val="24"/>
          <w:szCs w:val="24"/>
        </w:rPr>
      </w:pPr>
      <w:r>
        <w:rPr>
          <w:rFonts w:hint="eastAsia" w:ascii="宋体" w:hAnsi="宋体" w:eastAsia="宋体" w:cs="Arial"/>
          <w:bCs/>
          <w:sz w:val="24"/>
          <w:szCs w:val="24"/>
        </w:rPr>
        <w:t>日  期：       年    月   日</w:t>
      </w:r>
    </w:p>
    <w:p>
      <w:pPr>
        <w:rPr>
          <w:rFonts w:ascii="宋体" w:hAnsi="宋体"/>
          <w:b/>
          <w:sz w:val="30"/>
          <w:szCs w:val="30"/>
        </w:rPr>
      </w:pPr>
      <w:r>
        <w:rPr>
          <w:rFonts w:ascii="宋体" w:hAnsi="宋体"/>
          <w:b/>
          <w:sz w:val="30"/>
          <w:szCs w:val="30"/>
        </w:rPr>
        <w:br w:type="page"/>
      </w:r>
    </w:p>
    <w:p>
      <w:pPr>
        <w:pStyle w:val="5"/>
        <w:spacing w:line="360" w:lineRule="auto"/>
      </w:pPr>
      <w:bookmarkStart w:id="106" w:name="_Toc17077"/>
      <w:bookmarkStart w:id="107" w:name="_Toc20715"/>
      <w:bookmarkStart w:id="108" w:name="_Toc3006"/>
      <w:r>
        <w:rPr>
          <w:rStyle w:val="37"/>
          <w:rFonts w:hint="eastAsia"/>
          <w:b/>
          <w:bCs/>
        </w:rPr>
        <w:t>六、服务条款偏离表</w:t>
      </w:r>
      <w:bookmarkEnd w:id="106"/>
      <w:bookmarkEnd w:id="107"/>
      <w:bookmarkEnd w:id="108"/>
    </w:p>
    <w:p>
      <w:pPr>
        <w:pStyle w:val="39"/>
        <w:spacing w:line="360" w:lineRule="auto"/>
        <w:ind w:firstLine="547" w:firstLineChars="228"/>
        <w:jc w:val="left"/>
        <w:rPr>
          <w:rFonts w:ascii="宋体" w:hAnsi="宋体" w:cs="宋体"/>
          <w:sz w:val="24"/>
        </w:rPr>
      </w:pPr>
      <w:r>
        <w:rPr>
          <w:rFonts w:hint="eastAsia" w:ascii="宋体" w:hAnsi="宋体" w:cs="宋体"/>
          <w:sz w:val="24"/>
        </w:rPr>
        <w:t>请对照采购需求明细填写所投服务的服务要求响应情况，保证所投服务的服务要求实质性响应竞价要求。“偏离情况”栏中应填写“正偏离”或“无偏离”，不接受“负偏离”。</w:t>
      </w:r>
    </w:p>
    <w:tbl>
      <w:tblPr>
        <w:tblStyle w:val="2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5"/>
        <w:gridCol w:w="4306"/>
        <w:gridCol w:w="2236"/>
        <w:gridCol w:w="636"/>
        <w:gridCol w:w="6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09" w:type="pct"/>
            <w:shd w:val="clear" w:color="auto" w:fill="DCE6F2" w:themeFill="accent1" w:themeFillTint="32"/>
            <w:vAlign w:val="center"/>
          </w:tcPr>
          <w:p>
            <w:pPr>
              <w:jc w:val="center"/>
              <w:rPr>
                <w:rFonts w:ascii="宋体" w:hAnsi="宋体" w:eastAsia="宋体" w:cs="宋体"/>
                <w:b/>
                <w:bCs/>
                <w:kern w:val="0"/>
                <w:sz w:val="24"/>
                <w:szCs w:val="24"/>
              </w:rPr>
            </w:pPr>
            <w:r>
              <w:rPr>
                <w:rFonts w:hint="eastAsia" w:ascii="宋体" w:hAnsi="宋体" w:eastAsia="宋体" w:cs="宋体"/>
                <w:b/>
                <w:bCs/>
                <w:kern w:val="0"/>
                <w:sz w:val="24"/>
                <w:szCs w:val="24"/>
              </w:rPr>
              <w:t>序号</w:t>
            </w:r>
          </w:p>
        </w:tc>
        <w:tc>
          <w:tcPr>
            <w:tcW w:w="2583" w:type="pct"/>
            <w:shd w:val="clear" w:color="auto" w:fill="DCE6F2" w:themeFill="accent1" w:themeFillTint="32"/>
            <w:vAlign w:val="center"/>
          </w:tcPr>
          <w:p>
            <w:pPr>
              <w:jc w:val="center"/>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竞价文件服务要求条款</w:t>
            </w:r>
          </w:p>
        </w:tc>
        <w:tc>
          <w:tcPr>
            <w:tcW w:w="1341" w:type="pct"/>
            <w:shd w:val="clear" w:color="auto" w:fill="DCE6F2" w:themeFill="accent1" w:themeFillTint="32"/>
            <w:vAlign w:val="center"/>
          </w:tcPr>
          <w:p>
            <w:pPr>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应答文件服务要求响应条款</w:t>
            </w:r>
          </w:p>
        </w:tc>
        <w:tc>
          <w:tcPr>
            <w:tcW w:w="382" w:type="pct"/>
            <w:shd w:val="clear" w:color="auto" w:fill="DCE6F2" w:themeFill="accent1" w:themeFillTint="32"/>
            <w:vAlign w:val="center"/>
          </w:tcPr>
          <w:p>
            <w:pPr>
              <w:jc w:val="center"/>
              <w:rPr>
                <w:rFonts w:ascii="宋体" w:hAnsi="宋体" w:eastAsia="宋体" w:cs="宋体"/>
                <w:b/>
                <w:bCs/>
                <w:kern w:val="0"/>
                <w:sz w:val="24"/>
                <w:szCs w:val="24"/>
              </w:rPr>
            </w:pPr>
            <w:r>
              <w:rPr>
                <w:rFonts w:hint="eastAsia" w:ascii="宋体" w:hAnsi="宋体" w:eastAsia="宋体" w:cs="宋体"/>
                <w:b/>
                <w:bCs/>
                <w:kern w:val="0"/>
                <w:sz w:val="24"/>
                <w:szCs w:val="24"/>
              </w:rPr>
              <w:t>偏离情况</w:t>
            </w:r>
          </w:p>
        </w:tc>
        <w:tc>
          <w:tcPr>
            <w:tcW w:w="382" w:type="pct"/>
            <w:shd w:val="clear" w:color="auto" w:fill="DCE6F2" w:themeFill="accent1" w:themeFillTint="32"/>
            <w:vAlign w:val="center"/>
          </w:tcPr>
          <w:p>
            <w:pPr>
              <w:jc w:val="center"/>
              <w:rPr>
                <w:rFonts w:ascii="宋体" w:hAnsi="宋体" w:eastAsia="宋体" w:cs="宋体"/>
                <w:b/>
                <w:bCs/>
                <w:kern w:val="0"/>
                <w:sz w:val="24"/>
                <w:szCs w:val="24"/>
              </w:rPr>
            </w:pPr>
            <w:r>
              <w:rPr>
                <w:rFonts w:hint="eastAsia" w:ascii="宋体" w:hAnsi="宋体" w:eastAsia="宋体" w:cs="宋体"/>
                <w:b/>
                <w:bCs/>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09" w:type="pct"/>
            <w:vMerge w:val="restart"/>
            <w:vAlign w:val="center"/>
          </w:tcPr>
          <w:p>
            <w:pPr>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2583" w:type="pct"/>
            <w:vAlign w:val="center"/>
          </w:tcPr>
          <w:p>
            <w:pPr>
              <w:widowControl/>
              <w:spacing w:line="276" w:lineRule="auto"/>
              <w:jc w:val="left"/>
              <w:textAlignment w:val="bottom"/>
              <w:rPr>
                <w:rFonts w:cs="宋体" w:asciiTheme="minorEastAsia" w:hAnsiTheme="minorEastAsia" w:eastAsiaTheme="minorEastAsia"/>
                <w:b/>
                <w:bCs/>
                <w:kern w:val="0"/>
                <w:sz w:val="24"/>
                <w:szCs w:val="24"/>
              </w:rPr>
            </w:pPr>
            <w:r>
              <w:rPr>
                <w:rFonts w:hint="eastAsia" w:cs="宋体" w:asciiTheme="minorEastAsia" w:hAnsiTheme="minorEastAsia" w:eastAsiaTheme="minorEastAsia"/>
                <w:b/>
                <w:bCs/>
                <w:kern w:val="0"/>
                <w:sz w:val="24"/>
                <w:szCs w:val="24"/>
                <w:lang w:val="zh-CN"/>
              </w:rPr>
              <w:t>（</w:t>
            </w:r>
            <w:r>
              <w:rPr>
                <w:rFonts w:hint="eastAsia" w:cs="宋体" w:asciiTheme="minorEastAsia" w:hAnsiTheme="minorEastAsia" w:eastAsiaTheme="minorEastAsia"/>
                <w:b/>
                <w:bCs/>
                <w:kern w:val="0"/>
                <w:sz w:val="24"/>
                <w:szCs w:val="24"/>
              </w:rPr>
              <w:t>一</w:t>
            </w:r>
            <w:r>
              <w:rPr>
                <w:rFonts w:hint="eastAsia" w:cs="宋体" w:asciiTheme="minorEastAsia" w:hAnsiTheme="minorEastAsia" w:eastAsiaTheme="minorEastAsia"/>
                <w:b/>
                <w:bCs/>
                <w:kern w:val="0"/>
                <w:sz w:val="24"/>
                <w:szCs w:val="24"/>
                <w:lang w:val="zh-CN"/>
              </w:rPr>
              <w:t>）</w:t>
            </w:r>
            <w:r>
              <w:rPr>
                <w:rFonts w:hint="eastAsia" w:cs="宋体" w:asciiTheme="minorEastAsia" w:hAnsiTheme="minorEastAsia" w:eastAsiaTheme="minorEastAsia"/>
                <w:b/>
                <w:bCs/>
                <w:kern w:val="0"/>
                <w:sz w:val="24"/>
                <w:szCs w:val="24"/>
              </w:rPr>
              <w:t>维护清单</w:t>
            </w:r>
          </w:p>
          <w:tbl>
            <w:tblPr>
              <w:tblStyle w:val="24"/>
              <w:tblW w:w="5112" w:type="pct"/>
              <w:jc w:val="center"/>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Layout w:type="fixed"/>
              <w:tblCellMar>
                <w:top w:w="0" w:type="dxa"/>
                <w:left w:w="108" w:type="dxa"/>
                <w:bottom w:w="0" w:type="dxa"/>
                <w:right w:w="108" w:type="dxa"/>
              </w:tblCellMar>
            </w:tblPr>
            <w:tblGrid>
              <w:gridCol w:w="360"/>
              <w:gridCol w:w="710"/>
              <w:gridCol w:w="403"/>
              <w:gridCol w:w="2698"/>
            </w:tblGrid>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432" w:type="pct"/>
                  <w:tcBorders>
                    <w:tl2br w:val="nil"/>
                    <w:tr2bl w:val="nil"/>
                  </w:tcBorders>
                  <w:shd w:val="clear" w:color="auto" w:fill="auto"/>
                  <w:vAlign w:val="center"/>
                </w:tcPr>
                <w:p>
                  <w:pPr>
                    <w:spacing w:line="360" w:lineRule="auto"/>
                    <w:jc w:val="center"/>
                    <w:rPr>
                      <w:rFonts w:ascii="宋体" w:hAnsi="宋体" w:eastAsia="宋体" w:cs="宋体"/>
                      <w:b/>
                      <w:sz w:val="24"/>
                      <w:szCs w:val="24"/>
                    </w:rPr>
                  </w:pPr>
                  <w:r>
                    <w:rPr>
                      <w:rFonts w:hint="eastAsia" w:ascii="宋体" w:hAnsi="宋体" w:eastAsia="宋体" w:cs="宋体"/>
                      <w:b/>
                      <w:sz w:val="24"/>
                      <w:szCs w:val="24"/>
                    </w:rPr>
                    <w:t>序号</w:t>
                  </w:r>
                </w:p>
              </w:tc>
              <w:tc>
                <w:tcPr>
                  <w:tcW w:w="851" w:type="pct"/>
                  <w:tcBorders>
                    <w:tl2br w:val="nil"/>
                    <w:tr2bl w:val="nil"/>
                  </w:tcBorders>
                  <w:shd w:val="clear" w:color="auto" w:fill="auto"/>
                  <w:vAlign w:val="center"/>
                </w:tcPr>
                <w:p>
                  <w:pPr>
                    <w:spacing w:line="360" w:lineRule="auto"/>
                    <w:jc w:val="center"/>
                    <w:rPr>
                      <w:rFonts w:ascii="宋体" w:hAnsi="宋体" w:eastAsia="宋体" w:cs="宋体"/>
                      <w:b/>
                      <w:sz w:val="24"/>
                      <w:szCs w:val="24"/>
                    </w:rPr>
                  </w:pPr>
                  <w:r>
                    <w:rPr>
                      <w:rFonts w:hint="eastAsia" w:ascii="宋体" w:hAnsi="宋体" w:eastAsia="宋体" w:cs="宋体"/>
                      <w:b/>
                      <w:sz w:val="24"/>
                      <w:szCs w:val="24"/>
                    </w:rPr>
                    <w:t>维护设备名称</w:t>
                  </w:r>
                </w:p>
              </w:tc>
              <w:tc>
                <w:tcPr>
                  <w:tcW w:w="483" w:type="pct"/>
                  <w:tcBorders>
                    <w:tl2br w:val="nil"/>
                    <w:tr2bl w:val="nil"/>
                  </w:tcBorders>
                  <w:shd w:val="clear" w:color="auto" w:fill="auto"/>
                  <w:vAlign w:val="center"/>
                </w:tcPr>
                <w:p>
                  <w:pPr>
                    <w:spacing w:line="360" w:lineRule="auto"/>
                    <w:jc w:val="center"/>
                    <w:rPr>
                      <w:rFonts w:ascii="宋体" w:hAnsi="宋体" w:eastAsia="宋体" w:cs="宋体"/>
                      <w:b/>
                      <w:sz w:val="24"/>
                      <w:szCs w:val="24"/>
                    </w:rPr>
                  </w:pPr>
                  <w:r>
                    <w:rPr>
                      <w:rFonts w:hint="eastAsia" w:ascii="宋体" w:hAnsi="宋体" w:eastAsia="宋体" w:cs="宋体"/>
                      <w:b/>
                      <w:sz w:val="24"/>
                      <w:szCs w:val="24"/>
                    </w:rPr>
                    <w:t>数量</w:t>
                  </w:r>
                </w:p>
              </w:tc>
              <w:tc>
                <w:tcPr>
                  <w:tcW w:w="3233" w:type="pct"/>
                  <w:tcBorders>
                    <w:tl2br w:val="nil"/>
                    <w:tr2bl w:val="nil"/>
                  </w:tcBorders>
                  <w:shd w:val="clear" w:color="auto" w:fill="auto"/>
                  <w:vAlign w:val="center"/>
                </w:tcPr>
                <w:p>
                  <w:pPr>
                    <w:spacing w:line="360" w:lineRule="auto"/>
                    <w:jc w:val="center"/>
                    <w:rPr>
                      <w:rFonts w:ascii="宋体" w:hAnsi="宋体" w:eastAsia="宋体" w:cs="宋体"/>
                      <w:b/>
                      <w:sz w:val="24"/>
                      <w:szCs w:val="24"/>
                    </w:rPr>
                  </w:pPr>
                  <w:r>
                    <w:rPr>
                      <w:rFonts w:hint="eastAsia" w:ascii="宋体" w:hAnsi="宋体" w:eastAsia="宋体" w:cs="宋体"/>
                      <w:b/>
                      <w:sz w:val="24"/>
                      <w:szCs w:val="24"/>
                    </w:rPr>
                    <w:t>维护内容</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432" w:type="pct"/>
                  <w:tcBorders>
                    <w:tl2br w:val="nil"/>
                    <w:tr2bl w:val="nil"/>
                  </w:tcBorders>
                  <w:shd w:val="clear" w:color="auto" w:fill="auto"/>
                  <w:vAlign w:val="center"/>
                </w:tcPr>
                <w:p>
                  <w:pPr>
                    <w:spacing w:line="360" w:lineRule="auto"/>
                    <w:jc w:val="center"/>
                    <w:rPr>
                      <w:rFonts w:ascii="宋体" w:hAnsi="宋体" w:eastAsia="宋体" w:cs="宋体"/>
                      <w:sz w:val="24"/>
                      <w:szCs w:val="24"/>
                    </w:rPr>
                  </w:pPr>
                  <w:r>
                    <w:rPr>
                      <w:rFonts w:hint="eastAsia" w:ascii="宋体" w:hAnsi="宋体" w:eastAsia="宋体" w:cs="宋体"/>
                      <w:sz w:val="24"/>
                      <w:szCs w:val="24"/>
                    </w:rPr>
                    <w:t>1</w:t>
                  </w:r>
                </w:p>
              </w:tc>
              <w:tc>
                <w:tcPr>
                  <w:tcW w:w="851" w:type="pct"/>
                  <w:tcBorders>
                    <w:tl2br w:val="nil"/>
                    <w:tr2bl w:val="nil"/>
                  </w:tcBorders>
                  <w:shd w:val="clear" w:color="auto" w:fill="auto"/>
                  <w:vAlign w:val="center"/>
                </w:tcPr>
                <w:p>
                  <w:pPr>
                    <w:spacing w:line="360" w:lineRule="auto"/>
                    <w:jc w:val="center"/>
                    <w:rPr>
                      <w:rFonts w:ascii="宋体" w:hAnsi="宋体" w:eastAsia="宋体" w:cs="宋体"/>
                      <w:sz w:val="24"/>
                      <w:szCs w:val="24"/>
                    </w:rPr>
                  </w:pPr>
                  <w:r>
                    <w:rPr>
                      <w:rFonts w:hint="eastAsia" w:ascii="宋体" w:hAnsi="宋体" w:eastAsia="宋体" w:cs="宋体"/>
                      <w:sz w:val="24"/>
                      <w:szCs w:val="24"/>
                    </w:rPr>
                    <w:t>ISQ7000 气相色谱质谱联用仪(Thermo Fisher公司)</w:t>
                  </w:r>
                </w:p>
              </w:tc>
              <w:tc>
                <w:tcPr>
                  <w:tcW w:w="483" w:type="pct"/>
                  <w:tcBorders>
                    <w:tl2br w:val="nil"/>
                    <w:tr2bl w:val="nil"/>
                  </w:tcBorders>
                  <w:shd w:val="clear" w:color="auto" w:fill="auto"/>
                  <w:vAlign w:val="center"/>
                </w:tcPr>
                <w:p>
                  <w:pPr>
                    <w:spacing w:line="360" w:lineRule="auto"/>
                    <w:jc w:val="center"/>
                    <w:rPr>
                      <w:rFonts w:ascii="宋体" w:hAnsi="宋体" w:eastAsia="宋体" w:cs="宋体"/>
                      <w:sz w:val="24"/>
                      <w:szCs w:val="24"/>
                    </w:rPr>
                  </w:pPr>
                  <w:r>
                    <w:rPr>
                      <w:rFonts w:hint="eastAsia" w:ascii="宋体" w:hAnsi="宋体" w:eastAsia="宋体" w:cs="宋体"/>
                      <w:sz w:val="24"/>
                      <w:szCs w:val="24"/>
                    </w:rPr>
                    <w:t>2台</w:t>
                  </w:r>
                </w:p>
              </w:tc>
              <w:tc>
                <w:tcPr>
                  <w:tcW w:w="3233" w:type="pct"/>
                  <w:tcBorders>
                    <w:tl2br w:val="nil"/>
                    <w:tr2bl w:val="nil"/>
                  </w:tcBorders>
                  <w:shd w:val="clear" w:color="auto" w:fill="auto"/>
                  <w:vAlign w:val="center"/>
                </w:tcPr>
                <w:p>
                  <w:pPr>
                    <w:spacing w:line="360" w:lineRule="auto"/>
                    <w:rPr>
                      <w:rFonts w:ascii="宋体" w:hAnsi="宋体" w:eastAsia="宋体" w:cs="宋体"/>
                      <w:kern w:val="0"/>
                      <w:sz w:val="24"/>
                      <w:szCs w:val="24"/>
                    </w:rPr>
                  </w:pPr>
                  <w:r>
                    <w:rPr>
                      <w:rFonts w:hint="eastAsia" w:ascii="宋体" w:hAnsi="宋体" w:eastAsia="宋体" w:cs="宋体"/>
                      <w:kern w:val="0"/>
                      <w:sz w:val="24"/>
                      <w:szCs w:val="24"/>
                    </w:rPr>
                    <w:t>1、合约类型：全责合约；</w:t>
                  </w:r>
                </w:p>
                <w:p>
                  <w:pPr>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2、合同期内，中标供应商每年为仪器提供预防性维护保养及校正（PM）2次，该保养的流程，首先需要对仪器进行全面拆解，而且对于核心的功能模块进行彻底的清理、调节和测量，并依照工厂标准进行量化核对。如果发现存在不符合标准的零件，将进行更换，以将仪器性能优化至最佳状态，并减少仪器故障和延长仪器使用寿命；</w:t>
                  </w:r>
                </w:p>
                <w:p>
                  <w:pPr>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3、无限次数工程师上门维修；</w:t>
                  </w:r>
                </w:p>
                <w:p>
                  <w:pPr>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4、合同期内，采购人正常使用条件下，每次发生仪器故障，由原厂工程师进行维修，所需更换的故障零件均为原厂全新配件，所有费用、工时费、差旅费全部由中标供应商承担；</w:t>
                  </w:r>
                </w:p>
                <w:p>
                  <w:pPr>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5、当仪器设备发生故障时，工程师需在24-48小时内到现场进行维修；</w:t>
                  </w:r>
                </w:p>
                <w:p>
                  <w:pPr>
                    <w:spacing w:line="360" w:lineRule="auto"/>
                    <w:jc w:val="left"/>
                    <w:rPr>
                      <w:rFonts w:ascii="宋体" w:hAnsi="宋体" w:eastAsia="宋体" w:cs="宋体"/>
                      <w:kern w:val="0"/>
                      <w:sz w:val="24"/>
                      <w:szCs w:val="24"/>
                    </w:rPr>
                  </w:pPr>
                  <w:r>
                    <w:rPr>
                      <w:rFonts w:hint="eastAsia" w:ascii="宋体" w:hAnsi="宋体" w:eastAsia="宋体" w:cs="宋体"/>
                      <w:sz w:val="24"/>
                      <w:szCs w:val="24"/>
                    </w:rPr>
                    <w:t>6、2次/年上门预防性维护。</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432" w:type="pct"/>
                  <w:tcBorders>
                    <w:tl2br w:val="nil"/>
                    <w:tr2bl w:val="nil"/>
                  </w:tcBorders>
                  <w:shd w:val="clear" w:color="auto" w:fill="auto"/>
                  <w:vAlign w:val="center"/>
                </w:tcPr>
                <w:p>
                  <w:pPr>
                    <w:spacing w:line="360" w:lineRule="auto"/>
                    <w:jc w:val="center"/>
                    <w:rPr>
                      <w:rFonts w:ascii="宋体" w:hAnsi="宋体" w:eastAsia="宋体" w:cs="宋体"/>
                      <w:sz w:val="24"/>
                      <w:szCs w:val="24"/>
                    </w:rPr>
                  </w:pPr>
                  <w:r>
                    <w:rPr>
                      <w:rFonts w:hint="eastAsia" w:ascii="宋体" w:hAnsi="宋体" w:eastAsia="宋体" w:cs="宋体"/>
                      <w:sz w:val="24"/>
                      <w:szCs w:val="24"/>
                    </w:rPr>
                    <w:t>2</w:t>
                  </w:r>
                </w:p>
              </w:tc>
              <w:tc>
                <w:tcPr>
                  <w:tcW w:w="851" w:type="pct"/>
                  <w:tcBorders>
                    <w:tl2br w:val="nil"/>
                    <w:tr2bl w:val="nil"/>
                  </w:tcBorders>
                  <w:shd w:val="clear" w:color="auto" w:fill="auto"/>
                  <w:vAlign w:val="center"/>
                </w:tcPr>
                <w:p>
                  <w:pPr>
                    <w:spacing w:line="360" w:lineRule="auto"/>
                    <w:jc w:val="center"/>
                    <w:rPr>
                      <w:rFonts w:ascii="宋体" w:hAnsi="宋体" w:eastAsia="宋体" w:cs="宋体"/>
                      <w:sz w:val="24"/>
                      <w:szCs w:val="24"/>
                    </w:rPr>
                  </w:pPr>
                  <w:r>
                    <w:rPr>
                      <w:rFonts w:hint="eastAsia" w:ascii="宋体" w:hAnsi="宋体" w:eastAsia="宋体" w:cs="宋体"/>
                      <w:sz w:val="24"/>
                      <w:szCs w:val="24"/>
                    </w:rPr>
                    <w:t>气相色谱质谱联用仪QP2020(岛津公司)</w:t>
                  </w:r>
                </w:p>
              </w:tc>
              <w:tc>
                <w:tcPr>
                  <w:tcW w:w="483" w:type="pct"/>
                  <w:tcBorders>
                    <w:tl2br w:val="nil"/>
                    <w:tr2bl w:val="nil"/>
                  </w:tcBorders>
                  <w:shd w:val="clear" w:color="auto" w:fill="auto"/>
                  <w:vAlign w:val="center"/>
                </w:tcPr>
                <w:p>
                  <w:pPr>
                    <w:spacing w:line="360" w:lineRule="auto"/>
                    <w:jc w:val="center"/>
                    <w:rPr>
                      <w:rFonts w:ascii="宋体" w:hAnsi="宋体" w:eastAsia="宋体" w:cs="宋体"/>
                      <w:sz w:val="24"/>
                      <w:szCs w:val="24"/>
                    </w:rPr>
                  </w:pPr>
                  <w:r>
                    <w:rPr>
                      <w:rFonts w:hint="eastAsia" w:ascii="宋体" w:hAnsi="宋体" w:eastAsia="宋体" w:cs="宋体"/>
                      <w:sz w:val="24"/>
                      <w:szCs w:val="24"/>
                    </w:rPr>
                    <w:t>1台</w:t>
                  </w:r>
                </w:p>
              </w:tc>
              <w:tc>
                <w:tcPr>
                  <w:tcW w:w="3233" w:type="pct"/>
                  <w:tcBorders>
                    <w:tl2br w:val="nil"/>
                    <w:tr2bl w:val="nil"/>
                  </w:tcBorders>
                  <w:shd w:val="clear" w:color="auto" w:fill="auto"/>
                  <w:vAlign w:val="center"/>
                </w:tcPr>
                <w:p>
                  <w:pPr>
                    <w:spacing w:line="360" w:lineRule="auto"/>
                    <w:rPr>
                      <w:rFonts w:ascii="宋体" w:hAnsi="宋体" w:eastAsia="宋体" w:cs="宋体"/>
                      <w:kern w:val="0"/>
                      <w:sz w:val="24"/>
                      <w:szCs w:val="24"/>
                    </w:rPr>
                  </w:pPr>
                  <w:r>
                    <w:rPr>
                      <w:rFonts w:hint="eastAsia" w:ascii="宋体" w:hAnsi="宋体" w:eastAsia="宋体" w:cs="宋体"/>
                      <w:kern w:val="0"/>
                      <w:sz w:val="24"/>
                      <w:szCs w:val="24"/>
                    </w:rPr>
                    <w:t>1、合约类型：全责合约；</w:t>
                  </w:r>
                </w:p>
                <w:p>
                  <w:pPr>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2、合同期内，中标供应商每年为仪器提供预防性维护保养及校正（PM）2次，该保养的流程，首先需要对仪器进行全面拆解，而且对于核心的功能模块进行彻底的清理、调节和测量，并依照工厂标准进行量化核对。如果发现存在不符合标准的零件，将进行更换，以将仪器性能优化至最佳状态，并减少仪器故障和延长仪器使用寿命；</w:t>
                  </w:r>
                </w:p>
                <w:p>
                  <w:pPr>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3、无限次数工程师上门维修；</w:t>
                  </w:r>
                </w:p>
                <w:p>
                  <w:pPr>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4、合同期内，采购人正常使用条件下，每次发生仪器故障，由原厂工程师进行维修，所需更换的故障零件均为原厂全新配件，所有费用、工时费、差旅费全部由中标供应商承担；</w:t>
                  </w:r>
                </w:p>
                <w:p>
                  <w:pPr>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5、当仪器设备发生故障时，工程师需在24-48小时内到现场进行维修；</w:t>
                  </w:r>
                </w:p>
                <w:p>
                  <w:pPr>
                    <w:spacing w:line="360" w:lineRule="auto"/>
                    <w:jc w:val="left"/>
                    <w:rPr>
                      <w:rFonts w:ascii="宋体" w:hAnsi="宋体" w:eastAsia="宋体" w:cs="宋体"/>
                      <w:sz w:val="24"/>
                      <w:szCs w:val="24"/>
                    </w:rPr>
                  </w:pPr>
                  <w:r>
                    <w:rPr>
                      <w:rFonts w:hint="eastAsia" w:ascii="宋体" w:hAnsi="宋体" w:eastAsia="宋体" w:cs="宋体"/>
                      <w:sz w:val="24"/>
                      <w:szCs w:val="24"/>
                    </w:rPr>
                    <w:t>6、2次/年上门预防性维护。</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432" w:type="pct"/>
                  <w:tcBorders>
                    <w:tl2br w:val="nil"/>
                    <w:tr2bl w:val="nil"/>
                  </w:tcBorders>
                  <w:shd w:val="clear" w:color="auto" w:fill="auto"/>
                  <w:vAlign w:val="center"/>
                </w:tcPr>
                <w:p>
                  <w:pPr>
                    <w:spacing w:line="360" w:lineRule="auto"/>
                    <w:jc w:val="center"/>
                    <w:rPr>
                      <w:rFonts w:ascii="宋体" w:hAnsi="宋体" w:eastAsia="宋体" w:cs="宋体"/>
                      <w:sz w:val="24"/>
                      <w:szCs w:val="24"/>
                    </w:rPr>
                  </w:pPr>
                  <w:r>
                    <w:rPr>
                      <w:rFonts w:hint="eastAsia" w:ascii="宋体" w:hAnsi="宋体" w:eastAsia="宋体" w:cs="宋体"/>
                      <w:sz w:val="24"/>
                      <w:szCs w:val="24"/>
                    </w:rPr>
                    <w:t>3</w:t>
                  </w:r>
                </w:p>
              </w:tc>
              <w:tc>
                <w:tcPr>
                  <w:tcW w:w="851" w:type="pct"/>
                  <w:tcBorders>
                    <w:tl2br w:val="nil"/>
                    <w:tr2bl w:val="nil"/>
                  </w:tcBorders>
                  <w:shd w:val="clear" w:color="auto" w:fill="auto"/>
                  <w:vAlign w:val="center"/>
                </w:tcPr>
                <w:p>
                  <w:pPr>
                    <w:spacing w:after="240" w:line="360" w:lineRule="auto"/>
                    <w:jc w:val="center"/>
                    <w:rPr>
                      <w:rFonts w:ascii="宋体" w:hAnsi="宋体" w:eastAsia="宋体" w:cs="宋体"/>
                      <w:sz w:val="24"/>
                      <w:szCs w:val="24"/>
                    </w:rPr>
                  </w:pPr>
                  <w:r>
                    <w:rPr>
                      <w:rFonts w:hint="eastAsia" w:ascii="宋体" w:hAnsi="宋体" w:eastAsia="宋体" w:cs="宋体"/>
                      <w:sz w:val="24"/>
                      <w:szCs w:val="24"/>
                    </w:rPr>
                    <w:t>7010气相色谱质谱联用仪(安捷伦公司)</w:t>
                  </w:r>
                </w:p>
              </w:tc>
              <w:tc>
                <w:tcPr>
                  <w:tcW w:w="483" w:type="pct"/>
                  <w:tcBorders>
                    <w:tl2br w:val="nil"/>
                    <w:tr2bl w:val="nil"/>
                  </w:tcBorders>
                  <w:shd w:val="clear" w:color="auto" w:fill="auto"/>
                  <w:vAlign w:val="center"/>
                </w:tcPr>
                <w:p>
                  <w:pPr>
                    <w:widowControl/>
                    <w:spacing w:line="360" w:lineRule="auto"/>
                    <w:jc w:val="center"/>
                    <w:rPr>
                      <w:rFonts w:ascii="宋体" w:hAnsi="宋体" w:eastAsia="宋体" w:cs="宋体"/>
                      <w:kern w:val="0"/>
                      <w:sz w:val="24"/>
                      <w:szCs w:val="24"/>
                    </w:rPr>
                  </w:pPr>
                  <w:r>
                    <w:rPr>
                      <w:rFonts w:hint="eastAsia" w:ascii="宋体" w:hAnsi="宋体" w:eastAsia="宋体" w:cs="宋体"/>
                      <w:sz w:val="24"/>
                      <w:szCs w:val="24"/>
                    </w:rPr>
                    <w:t>1台</w:t>
                  </w:r>
                </w:p>
              </w:tc>
              <w:tc>
                <w:tcPr>
                  <w:tcW w:w="3233" w:type="pct"/>
                  <w:tcBorders>
                    <w:tl2br w:val="nil"/>
                    <w:tr2bl w:val="nil"/>
                  </w:tcBorders>
                  <w:shd w:val="clear" w:color="auto" w:fill="auto"/>
                  <w:vAlign w:val="center"/>
                </w:tcPr>
                <w:p>
                  <w:pPr>
                    <w:widowControl/>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1、合约类型：全责合约；</w:t>
                  </w:r>
                </w:p>
                <w:p>
                  <w:pPr>
                    <w:widowControl/>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2、合同期内，中标供应商每年为仪器提供预防性维护保养及校正（PM）2次，该保养的流程，首先需要对仪器进行全面拆解，而且对于核心的功能模块进行彻底的清理、调节和测量，并依照工厂标准进行量化核对。如果发现存在不符合标准的零件，将进行更换，以将仪器性能优化至最佳状态，并减少仪器故障和延长仪器使用寿命；</w:t>
                  </w:r>
                </w:p>
                <w:p>
                  <w:pPr>
                    <w:widowControl/>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3、无限次数工程师上门维修；</w:t>
                  </w:r>
                </w:p>
                <w:p>
                  <w:pPr>
                    <w:widowControl/>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4、合同期内，采购人正常使用条件下，每次发生仪器故障，由原厂工程师进行维修，所需更换的故障零件均为原厂全新配件，所有费用、工时费、差旅费全部由中标供应商承担；</w:t>
                  </w:r>
                </w:p>
                <w:p>
                  <w:pPr>
                    <w:widowControl/>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5、</w:t>
                  </w:r>
                  <w:r>
                    <w:rPr>
                      <w:rFonts w:hint="eastAsia" w:ascii="宋体" w:hAnsi="宋体" w:eastAsia="宋体" w:cs="宋体"/>
                      <w:sz w:val="24"/>
                      <w:szCs w:val="24"/>
                    </w:rPr>
                    <w:t>当仪器设备发生故障时，工程师需在24-48小时内到现场进行维修</w:t>
                  </w:r>
                  <w:r>
                    <w:rPr>
                      <w:rFonts w:hint="eastAsia" w:ascii="宋体" w:hAnsi="宋体" w:eastAsia="宋体" w:cs="宋体"/>
                      <w:kern w:val="0"/>
                      <w:sz w:val="24"/>
                      <w:szCs w:val="24"/>
                    </w:rPr>
                    <w:t>；</w:t>
                  </w:r>
                </w:p>
                <w:p>
                  <w:pPr>
                    <w:widowControl/>
                    <w:spacing w:line="360" w:lineRule="auto"/>
                    <w:jc w:val="left"/>
                    <w:rPr>
                      <w:rFonts w:ascii="宋体" w:hAnsi="宋体" w:eastAsia="宋体" w:cs="宋体"/>
                      <w:sz w:val="24"/>
                      <w:szCs w:val="24"/>
                    </w:rPr>
                  </w:pPr>
                  <w:r>
                    <w:rPr>
                      <w:rFonts w:hint="eastAsia" w:ascii="宋体" w:hAnsi="宋体" w:eastAsia="宋体" w:cs="宋体"/>
                      <w:kern w:val="0"/>
                      <w:sz w:val="24"/>
                      <w:szCs w:val="24"/>
                    </w:rPr>
                    <w:t>6、2次/年上门预防性维护。</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432" w:type="pct"/>
                  <w:tcBorders>
                    <w:tl2br w:val="nil"/>
                    <w:tr2bl w:val="nil"/>
                  </w:tcBorders>
                  <w:shd w:val="clear" w:color="auto" w:fill="auto"/>
                  <w:vAlign w:val="center"/>
                </w:tcPr>
                <w:p>
                  <w:pPr>
                    <w:spacing w:line="360" w:lineRule="auto"/>
                    <w:jc w:val="center"/>
                    <w:rPr>
                      <w:rFonts w:ascii="宋体" w:hAnsi="宋体" w:eastAsia="宋体" w:cs="宋体"/>
                      <w:sz w:val="24"/>
                      <w:szCs w:val="24"/>
                    </w:rPr>
                  </w:pPr>
                  <w:r>
                    <w:rPr>
                      <w:rFonts w:hint="eastAsia" w:ascii="宋体" w:hAnsi="宋体" w:eastAsia="宋体" w:cs="宋体"/>
                      <w:sz w:val="24"/>
                      <w:szCs w:val="24"/>
                    </w:rPr>
                    <w:t>4</w:t>
                  </w:r>
                </w:p>
              </w:tc>
              <w:tc>
                <w:tcPr>
                  <w:tcW w:w="851" w:type="pct"/>
                  <w:tcBorders>
                    <w:tl2br w:val="nil"/>
                    <w:tr2bl w:val="nil"/>
                  </w:tcBorders>
                  <w:shd w:val="clear" w:color="auto" w:fill="auto"/>
                  <w:vAlign w:val="center"/>
                </w:tcPr>
                <w:p>
                  <w:pPr>
                    <w:spacing w:after="240" w:line="360" w:lineRule="auto"/>
                    <w:jc w:val="center"/>
                    <w:rPr>
                      <w:rFonts w:ascii="宋体" w:hAnsi="宋体" w:eastAsia="宋体" w:cs="宋体"/>
                      <w:sz w:val="24"/>
                      <w:szCs w:val="24"/>
                    </w:rPr>
                  </w:pPr>
                  <w:r>
                    <w:rPr>
                      <w:rFonts w:hint="eastAsia" w:ascii="宋体" w:hAnsi="宋体" w:eastAsia="宋体" w:cs="宋体"/>
                      <w:sz w:val="24"/>
                      <w:szCs w:val="24"/>
                    </w:rPr>
                    <w:t>5977B气相色谱质谱联用仪(安捷伦公司)</w:t>
                  </w:r>
                </w:p>
              </w:tc>
              <w:tc>
                <w:tcPr>
                  <w:tcW w:w="483" w:type="pct"/>
                  <w:tcBorders>
                    <w:tl2br w:val="nil"/>
                    <w:tr2bl w:val="nil"/>
                  </w:tcBorders>
                  <w:shd w:val="clear" w:color="auto" w:fill="auto"/>
                  <w:vAlign w:val="center"/>
                </w:tcPr>
                <w:p>
                  <w:pPr>
                    <w:widowControl/>
                    <w:spacing w:line="360" w:lineRule="auto"/>
                    <w:jc w:val="center"/>
                    <w:rPr>
                      <w:rFonts w:ascii="宋体" w:hAnsi="宋体" w:eastAsia="宋体" w:cs="宋体"/>
                      <w:kern w:val="0"/>
                      <w:sz w:val="24"/>
                      <w:szCs w:val="24"/>
                    </w:rPr>
                  </w:pPr>
                  <w:r>
                    <w:rPr>
                      <w:rFonts w:hint="eastAsia" w:ascii="宋体" w:hAnsi="宋体" w:eastAsia="宋体" w:cs="宋体"/>
                      <w:sz w:val="24"/>
                      <w:szCs w:val="24"/>
                    </w:rPr>
                    <w:t>1台</w:t>
                  </w:r>
                </w:p>
              </w:tc>
              <w:tc>
                <w:tcPr>
                  <w:tcW w:w="3233" w:type="pct"/>
                  <w:tcBorders>
                    <w:tl2br w:val="nil"/>
                    <w:tr2bl w:val="nil"/>
                  </w:tcBorders>
                  <w:shd w:val="clear" w:color="auto" w:fill="auto"/>
                  <w:vAlign w:val="center"/>
                </w:tcPr>
                <w:p>
                  <w:pPr>
                    <w:widowControl/>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1、合约类型：全责合约；</w:t>
                  </w:r>
                </w:p>
                <w:p>
                  <w:pPr>
                    <w:widowControl/>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2、合同期内，中标供应商每年为仪器提供预防性维护保养及校正（PM）2次，该保养的流程，首先需要对仪器进行全面拆解，而且对于核心的功能模块进行彻底的清理、调节和测量，并依照工厂标准进行量化核对。如果发现存在不符合标准的零件，将进行更换，以将仪器性能优化至最佳状态，并减少仪器故障和延长仪器使用寿命；</w:t>
                  </w:r>
                </w:p>
                <w:p>
                  <w:pPr>
                    <w:widowControl/>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3、无限次数工程师上门维修；</w:t>
                  </w:r>
                </w:p>
                <w:p>
                  <w:pPr>
                    <w:widowControl/>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4、合同期内，采购人正常使用条件下，每次发生仪器故障，由原厂工程师进行维修，所需更换的故障零件均为原厂全新配件，所有费用、工时费、差旅费全部由中标供应商承担；</w:t>
                  </w:r>
                </w:p>
                <w:p>
                  <w:pPr>
                    <w:widowControl/>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5、</w:t>
                  </w:r>
                  <w:r>
                    <w:rPr>
                      <w:rFonts w:hint="eastAsia" w:ascii="宋体" w:hAnsi="宋体" w:eastAsia="宋体" w:cs="宋体"/>
                      <w:sz w:val="24"/>
                      <w:szCs w:val="24"/>
                    </w:rPr>
                    <w:t>当仪器设备发生故障时，工程师需在24-48小时内到现场进行维修</w:t>
                  </w:r>
                  <w:r>
                    <w:rPr>
                      <w:rFonts w:hint="eastAsia" w:ascii="宋体" w:hAnsi="宋体" w:eastAsia="宋体" w:cs="宋体"/>
                      <w:kern w:val="0"/>
                      <w:sz w:val="24"/>
                      <w:szCs w:val="24"/>
                    </w:rPr>
                    <w:t>；</w:t>
                  </w:r>
                </w:p>
                <w:p>
                  <w:pPr>
                    <w:widowControl/>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6、2次/年上门预防性维护。</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432" w:type="pct"/>
                  <w:tcBorders>
                    <w:tl2br w:val="nil"/>
                    <w:tr2bl w:val="nil"/>
                  </w:tcBorders>
                  <w:shd w:val="clear" w:color="auto" w:fill="auto"/>
                  <w:vAlign w:val="center"/>
                </w:tcPr>
                <w:p>
                  <w:pPr>
                    <w:spacing w:line="360" w:lineRule="auto"/>
                    <w:jc w:val="center"/>
                    <w:rPr>
                      <w:rFonts w:ascii="宋体" w:hAnsi="宋体" w:eastAsia="宋体" w:cs="宋体"/>
                      <w:sz w:val="24"/>
                      <w:szCs w:val="24"/>
                    </w:rPr>
                  </w:pPr>
                  <w:r>
                    <w:rPr>
                      <w:rFonts w:hint="eastAsia" w:ascii="宋体" w:hAnsi="宋体" w:eastAsia="宋体" w:cs="宋体"/>
                      <w:sz w:val="24"/>
                      <w:szCs w:val="24"/>
                    </w:rPr>
                    <w:t>5</w:t>
                  </w:r>
                </w:p>
              </w:tc>
              <w:tc>
                <w:tcPr>
                  <w:tcW w:w="851" w:type="pct"/>
                  <w:tcBorders>
                    <w:tl2br w:val="nil"/>
                    <w:tr2bl w:val="nil"/>
                  </w:tcBorders>
                  <w:shd w:val="clear" w:color="auto" w:fill="auto"/>
                  <w:vAlign w:val="center"/>
                </w:tcPr>
                <w:p>
                  <w:pPr>
                    <w:spacing w:line="360" w:lineRule="auto"/>
                    <w:jc w:val="center"/>
                    <w:rPr>
                      <w:rFonts w:ascii="宋体" w:hAnsi="宋体" w:eastAsia="宋体" w:cs="宋体"/>
                      <w:sz w:val="24"/>
                      <w:szCs w:val="24"/>
                    </w:rPr>
                  </w:pPr>
                  <w:r>
                    <w:rPr>
                      <w:rFonts w:hint="eastAsia" w:ascii="宋体" w:hAnsi="宋体" w:eastAsia="宋体" w:cs="宋体"/>
                      <w:sz w:val="24"/>
                      <w:szCs w:val="24"/>
                    </w:rPr>
                    <w:t>Clarus600气相色谱仪(Perkin Eimer公司)</w:t>
                  </w:r>
                </w:p>
              </w:tc>
              <w:tc>
                <w:tcPr>
                  <w:tcW w:w="483" w:type="pct"/>
                  <w:tcBorders>
                    <w:tl2br w:val="nil"/>
                    <w:tr2bl w:val="nil"/>
                  </w:tcBorders>
                  <w:shd w:val="clear" w:color="auto" w:fill="auto"/>
                  <w:vAlign w:val="center"/>
                </w:tcPr>
                <w:p>
                  <w:pPr>
                    <w:spacing w:line="360" w:lineRule="auto"/>
                    <w:jc w:val="center"/>
                    <w:rPr>
                      <w:rFonts w:ascii="宋体" w:hAnsi="宋体" w:eastAsia="宋体" w:cs="宋体"/>
                      <w:sz w:val="24"/>
                      <w:szCs w:val="24"/>
                    </w:rPr>
                  </w:pPr>
                  <w:r>
                    <w:rPr>
                      <w:rFonts w:hint="eastAsia" w:ascii="宋体" w:hAnsi="宋体" w:eastAsia="宋体" w:cs="宋体"/>
                      <w:sz w:val="24"/>
                      <w:szCs w:val="24"/>
                    </w:rPr>
                    <w:t>1台</w:t>
                  </w:r>
                </w:p>
              </w:tc>
              <w:tc>
                <w:tcPr>
                  <w:tcW w:w="3233" w:type="pct"/>
                  <w:tcBorders>
                    <w:tl2br w:val="nil"/>
                    <w:tr2bl w:val="nil"/>
                  </w:tcBorders>
                  <w:shd w:val="clear" w:color="auto" w:fill="auto"/>
                  <w:vAlign w:val="center"/>
                </w:tcPr>
                <w:p>
                  <w:pPr>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1、合约类型：全责合约；</w:t>
                  </w:r>
                </w:p>
                <w:p>
                  <w:pPr>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2、合同期内，中标供应商每年为仪器提供预防性维护保养及校正（PM）2次，该保养的流程，首先需要对仪器进行全面拆解，而且对于核心的功能模块进行彻底的清理、调节和测量，并依照工厂标准进行量化核对。如果发现存在不符合标准的零件，将进行更换，以将仪器性能优化至最佳状态，并减少仪器故障和延长仪器使用寿命；</w:t>
                  </w:r>
                </w:p>
                <w:p>
                  <w:pPr>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3、无限次数工程师上门维修；</w:t>
                  </w:r>
                </w:p>
                <w:p>
                  <w:pPr>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4、合同期内，采购人正常使用条件下，每次发生仪器故障，由原厂工程师进行维修，所需更换的故障零件均为原厂全新配件，所有费用、工时费、差旅费全部由中标供应商承担；</w:t>
                  </w:r>
                </w:p>
                <w:p>
                  <w:pPr>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5、当仪器设备发生故障时，工程师需在24-48小时内到现场进行维修；</w:t>
                  </w:r>
                </w:p>
                <w:p>
                  <w:pPr>
                    <w:spacing w:line="360" w:lineRule="auto"/>
                    <w:jc w:val="left"/>
                    <w:rPr>
                      <w:rFonts w:ascii="宋体" w:hAnsi="宋体" w:eastAsia="宋体" w:cs="宋体"/>
                      <w:kern w:val="0"/>
                      <w:sz w:val="24"/>
                      <w:szCs w:val="24"/>
                    </w:rPr>
                  </w:pPr>
                  <w:r>
                    <w:rPr>
                      <w:rFonts w:hint="eastAsia" w:ascii="宋体" w:hAnsi="宋体" w:eastAsia="宋体" w:cs="宋体"/>
                      <w:sz w:val="24"/>
                      <w:szCs w:val="24"/>
                    </w:rPr>
                    <w:t>6、2次/年上门预防性维护。</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432" w:type="pct"/>
                  <w:tcBorders>
                    <w:tl2br w:val="nil"/>
                    <w:tr2bl w:val="nil"/>
                  </w:tcBorders>
                  <w:shd w:val="clear" w:color="auto" w:fill="auto"/>
                  <w:vAlign w:val="center"/>
                </w:tcPr>
                <w:p>
                  <w:pPr>
                    <w:spacing w:line="360" w:lineRule="auto"/>
                    <w:jc w:val="center"/>
                    <w:rPr>
                      <w:rFonts w:ascii="宋体" w:hAnsi="宋体" w:eastAsia="宋体" w:cs="宋体"/>
                      <w:sz w:val="24"/>
                      <w:szCs w:val="24"/>
                    </w:rPr>
                  </w:pPr>
                  <w:r>
                    <w:rPr>
                      <w:rFonts w:hint="eastAsia" w:ascii="宋体" w:hAnsi="宋体" w:eastAsia="宋体" w:cs="宋体"/>
                      <w:sz w:val="24"/>
                      <w:szCs w:val="24"/>
                    </w:rPr>
                    <w:t>6</w:t>
                  </w:r>
                </w:p>
              </w:tc>
              <w:tc>
                <w:tcPr>
                  <w:tcW w:w="851" w:type="pct"/>
                  <w:tcBorders>
                    <w:tl2br w:val="nil"/>
                    <w:tr2bl w:val="nil"/>
                  </w:tcBorders>
                  <w:shd w:val="clear" w:color="auto" w:fill="auto"/>
                  <w:vAlign w:val="center"/>
                </w:tcPr>
                <w:p>
                  <w:pPr>
                    <w:spacing w:line="360" w:lineRule="auto"/>
                    <w:jc w:val="center"/>
                    <w:rPr>
                      <w:rFonts w:ascii="宋体" w:hAnsi="宋体" w:eastAsia="宋体" w:cs="宋体"/>
                      <w:sz w:val="24"/>
                      <w:szCs w:val="24"/>
                    </w:rPr>
                  </w:pPr>
                  <w:r>
                    <w:rPr>
                      <w:rFonts w:hint="eastAsia" w:ascii="宋体" w:hAnsi="宋体" w:eastAsia="宋体" w:cs="宋体"/>
                      <w:sz w:val="24"/>
                      <w:szCs w:val="24"/>
                    </w:rPr>
                    <w:t>7890A气相色谱仪 (安捷伦公司)</w:t>
                  </w:r>
                </w:p>
              </w:tc>
              <w:tc>
                <w:tcPr>
                  <w:tcW w:w="483" w:type="pct"/>
                  <w:tcBorders>
                    <w:tl2br w:val="nil"/>
                    <w:tr2bl w:val="nil"/>
                  </w:tcBorders>
                  <w:shd w:val="clear" w:color="auto" w:fill="auto"/>
                  <w:vAlign w:val="center"/>
                </w:tcPr>
                <w:p>
                  <w:pPr>
                    <w:widowControl/>
                    <w:spacing w:line="360" w:lineRule="auto"/>
                    <w:jc w:val="center"/>
                    <w:rPr>
                      <w:rFonts w:ascii="宋体" w:hAnsi="宋体" w:eastAsia="宋体" w:cs="宋体"/>
                      <w:kern w:val="0"/>
                      <w:sz w:val="24"/>
                      <w:szCs w:val="24"/>
                    </w:rPr>
                  </w:pPr>
                  <w:r>
                    <w:rPr>
                      <w:rFonts w:hint="eastAsia" w:ascii="宋体" w:hAnsi="宋体" w:eastAsia="宋体" w:cs="宋体"/>
                      <w:sz w:val="24"/>
                      <w:szCs w:val="24"/>
                    </w:rPr>
                    <w:t>2台</w:t>
                  </w:r>
                </w:p>
              </w:tc>
              <w:tc>
                <w:tcPr>
                  <w:tcW w:w="3233" w:type="pct"/>
                  <w:tcBorders>
                    <w:tl2br w:val="nil"/>
                    <w:tr2bl w:val="nil"/>
                  </w:tcBorders>
                  <w:shd w:val="clear" w:color="auto" w:fill="auto"/>
                  <w:vAlign w:val="center"/>
                </w:tcPr>
                <w:p>
                  <w:pPr>
                    <w:spacing w:line="360" w:lineRule="auto"/>
                    <w:rPr>
                      <w:rFonts w:ascii="宋体" w:hAnsi="宋体" w:eastAsia="宋体" w:cs="宋体"/>
                      <w:kern w:val="0"/>
                      <w:sz w:val="24"/>
                      <w:szCs w:val="24"/>
                    </w:rPr>
                  </w:pPr>
                  <w:r>
                    <w:rPr>
                      <w:rFonts w:hint="eastAsia" w:ascii="宋体" w:hAnsi="宋体" w:eastAsia="宋体" w:cs="宋体"/>
                      <w:kern w:val="0"/>
                      <w:sz w:val="24"/>
                      <w:szCs w:val="24"/>
                    </w:rPr>
                    <w:t>1、合约类型：全责合约；</w:t>
                  </w:r>
                </w:p>
                <w:p>
                  <w:pPr>
                    <w:widowControl/>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2、合同期内，中标供应商每年为仪器提供预防性维护保养及校正（PM）2次，该保养的流程，首先需要对仪器进行全面拆解，而且对于核心的功能模块进行彻底的清理、调节和测量，并依照工厂标准进行量化核对。如果发现存在不符合标准的零件，将进行更换，以将仪器性能优化至最佳状态，并减少仪器故障和延长仪器使用寿命；</w:t>
                  </w:r>
                </w:p>
                <w:p>
                  <w:pPr>
                    <w:widowControl/>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3、无限次数工程师上门维修；</w:t>
                  </w:r>
                </w:p>
                <w:p>
                  <w:pPr>
                    <w:widowControl/>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4、合同期内，采购人正常使用条件下，每次发生仪器故障，由原厂工程师进行维修，所需更换的故障零件均为原厂全新配件，所有费用、工时费、差旅费全部由中标供应商承担；</w:t>
                  </w:r>
                </w:p>
                <w:p>
                  <w:pPr>
                    <w:widowControl/>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5、当仪器设备发生故障时，工程师需在24-48小时内到现场进行维修；</w:t>
                  </w:r>
                </w:p>
                <w:p>
                  <w:pPr>
                    <w:widowControl/>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6、2次/年上门预防性维护。</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432" w:type="pct"/>
                  <w:tcBorders>
                    <w:tl2br w:val="nil"/>
                    <w:tr2bl w:val="nil"/>
                  </w:tcBorders>
                  <w:shd w:val="clear" w:color="auto" w:fill="auto"/>
                  <w:vAlign w:val="center"/>
                </w:tcPr>
                <w:p>
                  <w:pPr>
                    <w:spacing w:line="360" w:lineRule="auto"/>
                    <w:jc w:val="center"/>
                    <w:rPr>
                      <w:rFonts w:ascii="宋体" w:hAnsi="宋体" w:eastAsia="宋体" w:cs="宋体"/>
                      <w:sz w:val="24"/>
                      <w:szCs w:val="24"/>
                    </w:rPr>
                  </w:pPr>
                  <w:r>
                    <w:rPr>
                      <w:rFonts w:hint="eastAsia" w:ascii="宋体" w:hAnsi="宋体" w:eastAsia="宋体" w:cs="宋体"/>
                      <w:sz w:val="24"/>
                      <w:szCs w:val="24"/>
                    </w:rPr>
                    <w:t>7</w:t>
                  </w:r>
                </w:p>
              </w:tc>
              <w:tc>
                <w:tcPr>
                  <w:tcW w:w="851" w:type="pct"/>
                  <w:tcBorders>
                    <w:tl2br w:val="nil"/>
                    <w:tr2bl w:val="nil"/>
                  </w:tcBorders>
                  <w:shd w:val="clear" w:color="auto" w:fill="auto"/>
                  <w:vAlign w:val="center"/>
                </w:tcPr>
                <w:p>
                  <w:pPr>
                    <w:spacing w:line="360" w:lineRule="auto"/>
                    <w:jc w:val="center"/>
                    <w:rPr>
                      <w:rFonts w:ascii="宋体" w:hAnsi="宋体" w:eastAsia="宋体" w:cs="宋体"/>
                      <w:sz w:val="24"/>
                      <w:szCs w:val="24"/>
                    </w:rPr>
                  </w:pPr>
                  <w:r>
                    <w:rPr>
                      <w:rFonts w:hint="eastAsia" w:ascii="宋体" w:hAnsi="宋体" w:eastAsia="宋体" w:cs="宋体"/>
                      <w:sz w:val="24"/>
                      <w:szCs w:val="24"/>
                    </w:rPr>
                    <w:t>TSQ-Quantiva液相色谱质谱联用仪</w:t>
                  </w:r>
                </w:p>
                <w:p>
                  <w:pPr>
                    <w:spacing w:line="360" w:lineRule="auto"/>
                    <w:jc w:val="center"/>
                    <w:rPr>
                      <w:rFonts w:ascii="宋体" w:hAnsi="宋体" w:eastAsia="宋体" w:cs="宋体"/>
                      <w:sz w:val="24"/>
                      <w:szCs w:val="24"/>
                    </w:rPr>
                  </w:pPr>
                  <w:r>
                    <w:rPr>
                      <w:rFonts w:hint="eastAsia" w:ascii="宋体" w:hAnsi="宋体" w:eastAsia="宋体" w:cs="宋体"/>
                      <w:sz w:val="24"/>
                      <w:szCs w:val="24"/>
                    </w:rPr>
                    <w:t>(Thermo Fisher公司)</w:t>
                  </w:r>
                </w:p>
              </w:tc>
              <w:tc>
                <w:tcPr>
                  <w:tcW w:w="483" w:type="pct"/>
                  <w:tcBorders>
                    <w:tl2br w:val="nil"/>
                    <w:tr2bl w:val="nil"/>
                  </w:tcBorders>
                  <w:shd w:val="clear" w:color="auto" w:fill="auto"/>
                  <w:vAlign w:val="center"/>
                </w:tcPr>
                <w:p>
                  <w:pPr>
                    <w:spacing w:line="360" w:lineRule="auto"/>
                    <w:jc w:val="center"/>
                    <w:rPr>
                      <w:rFonts w:ascii="宋体" w:hAnsi="宋体" w:eastAsia="宋体" w:cs="宋体"/>
                      <w:sz w:val="24"/>
                      <w:szCs w:val="24"/>
                    </w:rPr>
                  </w:pPr>
                  <w:r>
                    <w:rPr>
                      <w:rFonts w:hint="eastAsia" w:ascii="宋体" w:hAnsi="宋体" w:eastAsia="宋体" w:cs="宋体"/>
                      <w:sz w:val="24"/>
                      <w:szCs w:val="24"/>
                    </w:rPr>
                    <w:t>1台</w:t>
                  </w:r>
                </w:p>
              </w:tc>
              <w:tc>
                <w:tcPr>
                  <w:tcW w:w="3233" w:type="pct"/>
                  <w:tcBorders>
                    <w:tl2br w:val="nil"/>
                    <w:tr2bl w:val="nil"/>
                  </w:tcBorders>
                  <w:shd w:val="clear" w:color="auto" w:fill="auto"/>
                  <w:vAlign w:val="center"/>
                </w:tcPr>
                <w:p>
                  <w:pPr>
                    <w:spacing w:line="360" w:lineRule="auto"/>
                    <w:rPr>
                      <w:rFonts w:ascii="宋体" w:hAnsi="宋体" w:eastAsia="宋体" w:cs="宋体"/>
                      <w:kern w:val="0"/>
                      <w:sz w:val="24"/>
                      <w:szCs w:val="24"/>
                    </w:rPr>
                  </w:pPr>
                  <w:r>
                    <w:rPr>
                      <w:rFonts w:hint="eastAsia" w:ascii="宋体" w:hAnsi="宋体" w:eastAsia="宋体" w:cs="宋体"/>
                      <w:kern w:val="0"/>
                      <w:sz w:val="24"/>
                      <w:szCs w:val="24"/>
                    </w:rPr>
                    <w:t>1、合约类型：全责合约；</w:t>
                  </w:r>
                </w:p>
                <w:p>
                  <w:pPr>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2、合同期内，中标供应商每年为仪器提供预防性维护保养及校正（PM）2次，该保养的流程，首先需要对仪器进行全面拆解，而且对于核心的功能模块进行彻底的清理、调节和测量，并依照工厂标准进行量化核对。如果发现存在不符合标准的零件，将进行更换，以将仪器性能优化至最佳状态，并减少仪器故障和延长仪器使用寿命；</w:t>
                  </w:r>
                </w:p>
                <w:p>
                  <w:pPr>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3、无限次数工程师上门维修；</w:t>
                  </w:r>
                </w:p>
                <w:p>
                  <w:pPr>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4、合同期内，采购人正常使用条件下，每次发生仪器故障，由原厂工程师进行维修，所需更换的故障零件均为原厂全新配件，所有费用、工时费、差旅费全部由中标供应商承担；</w:t>
                  </w:r>
                </w:p>
                <w:p>
                  <w:pPr>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5、当仪器设备发生故障时，工程师需在24-48小时内到现场进行维修；</w:t>
                  </w:r>
                </w:p>
                <w:p>
                  <w:pPr>
                    <w:spacing w:line="360" w:lineRule="auto"/>
                    <w:jc w:val="left"/>
                    <w:rPr>
                      <w:rFonts w:ascii="宋体" w:hAnsi="宋体" w:eastAsia="宋体" w:cs="宋体"/>
                      <w:sz w:val="24"/>
                      <w:szCs w:val="24"/>
                    </w:rPr>
                  </w:pPr>
                  <w:r>
                    <w:rPr>
                      <w:rFonts w:hint="eastAsia" w:ascii="宋体" w:hAnsi="宋体" w:eastAsia="宋体" w:cs="宋体"/>
                      <w:sz w:val="24"/>
                      <w:szCs w:val="24"/>
                    </w:rPr>
                    <w:t>6、2次/年上门预防性维护。</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432" w:type="pct"/>
                  <w:tcBorders>
                    <w:tl2br w:val="nil"/>
                    <w:tr2bl w:val="nil"/>
                  </w:tcBorders>
                  <w:shd w:val="clear" w:color="auto" w:fill="auto"/>
                  <w:vAlign w:val="center"/>
                </w:tcPr>
                <w:p>
                  <w:pPr>
                    <w:spacing w:line="360" w:lineRule="auto"/>
                    <w:jc w:val="center"/>
                    <w:rPr>
                      <w:rFonts w:ascii="宋体" w:hAnsi="宋体" w:eastAsia="宋体" w:cs="宋体"/>
                      <w:sz w:val="24"/>
                      <w:szCs w:val="24"/>
                    </w:rPr>
                  </w:pPr>
                  <w:r>
                    <w:rPr>
                      <w:rFonts w:hint="eastAsia" w:ascii="宋体" w:hAnsi="宋体" w:eastAsia="宋体" w:cs="宋体"/>
                      <w:sz w:val="24"/>
                      <w:szCs w:val="24"/>
                    </w:rPr>
                    <w:t>8</w:t>
                  </w:r>
                </w:p>
              </w:tc>
              <w:tc>
                <w:tcPr>
                  <w:tcW w:w="851" w:type="pct"/>
                  <w:tcBorders>
                    <w:tl2br w:val="nil"/>
                    <w:tr2bl w:val="nil"/>
                  </w:tcBorders>
                  <w:shd w:val="clear" w:color="auto" w:fill="auto"/>
                  <w:vAlign w:val="center"/>
                </w:tcPr>
                <w:p>
                  <w:pPr>
                    <w:spacing w:line="360" w:lineRule="auto"/>
                    <w:jc w:val="center"/>
                    <w:rPr>
                      <w:rFonts w:ascii="宋体" w:hAnsi="宋体" w:eastAsia="宋体" w:cs="宋体"/>
                      <w:sz w:val="24"/>
                      <w:szCs w:val="24"/>
                    </w:rPr>
                  </w:pPr>
                  <w:r>
                    <w:rPr>
                      <w:rFonts w:hint="eastAsia" w:ascii="宋体" w:hAnsi="宋体" w:eastAsia="宋体" w:cs="宋体"/>
                      <w:sz w:val="24"/>
                      <w:szCs w:val="24"/>
                    </w:rPr>
                    <w:t>ICP/MS联用仪NexION300X(Perkin Eimer公司)</w:t>
                  </w:r>
                </w:p>
              </w:tc>
              <w:tc>
                <w:tcPr>
                  <w:tcW w:w="483" w:type="pct"/>
                  <w:tcBorders>
                    <w:tl2br w:val="nil"/>
                    <w:tr2bl w:val="nil"/>
                  </w:tcBorders>
                  <w:shd w:val="clear" w:color="auto" w:fill="auto"/>
                  <w:vAlign w:val="center"/>
                </w:tcPr>
                <w:p>
                  <w:pPr>
                    <w:spacing w:line="360" w:lineRule="auto"/>
                    <w:jc w:val="center"/>
                    <w:rPr>
                      <w:rFonts w:ascii="宋体" w:hAnsi="宋体" w:eastAsia="宋体" w:cs="宋体"/>
                      <w:sz w:val="24"/>
                      <w:szCs w:val="24"/>
                    </w:rPr>
                  </w:pPr>
                  <w:r>
                    <w:rPr>
                      <w:rFonts w:hint="eastAsia" w:ascii="宋体" w:hAnsi="宋体" w:eastAsia="宋体" w:cs="宋体"/>
                      <w:sz w:val="24"/>
                      <w:szCs w:val="24"/>
                    </w:rPr>
                    <w:t>1台</w:t>
                  </w:r>
                </w:p>
              </w:tc>
              <w:tc>
                <w:tcPr>
                  <w:tcW w:w="3233" w:type="pct"/>
                  <w:tcBorders>
                    <w:tl2br w:val="nil"/>
                    <w:tr2bl w:val="nil"/>
                  </w:tcBorders>
                  <w:shd w:val="clear" w:color="auto" w:fill="auto"/>
                  <w:vAlign w:val="center"/>
                </w:tcPr>
                <w:p>
                  <w:pPr>
                    <w:spacing w:line="360" w:lineRule="auto"/>
                    <w:rPr>
                      <w:rFonts w:ascii="宋体" w:hAnsi="宋体" w:eastAsia="宋体" w:cs="宋体"/>
                      <w:kern w:val="0"/>
                      <w:sz w:val="24"/>
                      <w:szCs w:val="24"/>
                    </w:rPr>
                  </w:pPr>
                  <w:r>
                    <w:rPr>
                      <w:rFonts w:hint="eastAsia" w:ascii="宋体" w:hAnsi="宋体" w:eastAsia="宋体" w:cs="宋体"/>
                      <w:kern w:val="0"/>
                      <w:sz w:val="24"/>
                      <w:szCs w:val="24"/>
                    </w:rPr>
                    <w:t>1、合约类型：全责合约；</w:t>
                  </w:r>
                </w:p>
                <w:p>
                  <w:pPr>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2、合同期内，中标供应商每年为仪器提供预防性维护保养及校正（PM）2次，该保养的流程，首先需要对仪器进行全面拆解，而且对于核心的功能模块进行彻底的清理、调节和测量，并依照工厂标准进行量化核对。如果发现存在不符合标准的零件，将进行更换，以将仪器性能优化至最佳状态，并减少仪器故障和延长仪器使用寿命；</w:t>
                  </w:r>
                </w:p>
                <w:p>
                  <w:pPr>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3、无限次数工程师上门维修；</w:t>
                  </w:r>
                </w:p>
                <w:p>
                  <w:pPr>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4、合同期内，采购人正常使用条件下，每次发生仪器故障，由原厂工程师进行维修，所需更换的故障零件均为原厂全新配件，所有费用、工时费、差旅费全部由中标供应商承担；</w:t>
                  </w:r>
                </w:p>
                <w:p>
                  <w:pPr>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5、当仪器设备发生故障时，工程师需在24-48小时内到现场进行维修；</w:t>
                  </w:r>
                </w:p>
                <w:p>
                  <w:pPr>
                    <w:spacing w:line="360" w:lineRule="auto"/>
                    <w:jc w:val="left"/>
                    <w:rPr>
                      <w:rFonts w:ascii="宋体" w:hAnsi="宋体" w:eastAsia="宋体" w:cs="宋体"/>
                      <w:sz w:val="24"/>
                      <w:szCs w:val="24"/>
                    </w:rPr>
                  </w:pPr>
                  <w:r>
                    <w:rPr>
                      <w:rFonts w:hint="eastAsia" w:ascii="宋体" w:hAnsi="宋体" w:eastAsia="宋体" w:cs="宋体"/>
                      <w:sz w:val="24"/>
                      <w:szCs w:val="24"/>
                    </w:rPr>
                    <w:t>6、2次/年上门预防性维护。</w:t>
                  </w:r>
                </w:p>
              </w:tc>
            </w:tr>
          </w:tbl>
          <w:p>
            <w:pPr>
              <w:jc w:val="center"/>
              <w:rPr>
                <w:rFonts w:ascii="宋体" w:hAnsi="宋体" w:eastAsia="宋体" w:cs="宋体"/>
                <w:kern w:val="0"/>
                <w:sz w:val="24"/>
                <w:szCs w:val="24"/>
              </w:rPr>
            </w:pPr>
          </w:p>
        </w:tc>
        <w:tc>
          <w:tcPr>
            <w:tcW w:w="1341" w:type="pct"/>
            <w:vAlign w:val="center"/>
          </w:tcPr>
          <w:p>
            <w:pPr>
              <w:jc w:val="center"/>
              <w:rPr>
                <w:rFonts w:ascii="宋体" w:hAnsi="宋体" w:eastAsia="宋体" w:cs="宋体"/>
                <w:kern w:val="0"/>
                <w:sz w:val="24"/>
                <w:szCs w:val="24"/>
              </w:rPr>
            </w:pPr>
          </w:p>
        </w:tc>
        <w:tc>
          <w:tcPr>
            <w:tcW w:w="382" w:type="pct"/>
            <w:vAlign w:val="center"/>
          </w:tcPr>
          <w:p>
            <w:pPr>
              <w:jc w:val="center"/>
              <w:rPr>
                <w:rFonts w:ascii="宋体" w:hAnsi="宋体" w:eastAsia="宋体" w:cs="宋体"/>
                <w:kern w:val="0"/>
                <w:sz w:val="24"/>
                <w:szCs w:val="24"/>
              </w:rPr>
            </w:pPr>
          </w:p>
        </w:tc>
        <w:tc>
          <w:tcPr>
            <w:tcW w:w="382" w:type="pct"/>
            <w:vAlign w:val="center"/>
          </w:tcPr>
          <w:p>
            <w:pPr>
              <w:jc w:val="center"/>
              <w:rPr>
                <w:rFonts w:ascii="宋体" w:hAnsi="宋体" w:eastAsia="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09" w:type="pct"/>
            <w:vAlign w:val="center"/>
          </w:tcPr>
          <w:p>
            <w:pPr>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2583" w:type="pct"/>
            <w:vAlign w:val="center"/>
          </w:tcPr>
          <w:p>
            <w:pPr>
              <w:widowControl/>
              <w:spacing w:line="276" w:lineRule="auto"/>
              <w:jc w:val="left"/>
              <w:textAlignment w:val="bottom"/>
              <w:rPr>
                <w:rFonts w:cs="宋体" w:asciiTheme="minorEastAsia" w:hAnsiTheme="minorEastAsia" w:eastAsiaTheme="minorEastAsia"/>
                <w:b/>
                <w:bCs/>
                <w:kern w:val="0"/>
                <w:sz w:val="24"/>
                <w:szCs w:val="24"/>
              </w:rPr>
            </w:pPr>
            <w:r>
              <w:rPr>
                <w:rFonts w:hint="eastAsia" w:cs="宋体" w:asciiTheme="minorEastAsia" w:hAnsiTheme="minorEastAsia" w:eastAsiaTheme="minorEastAsia"/>
                <w:b/>
                <w:bCs/>
                <w:kern w:val="0"/>
                <w:sz w:val="24"/>
                <w:szCs w:val="24"/>
              </w:rPr>
              <w:t>（二）服务要求</w:t>
            </w:r>
          </w:p>
          <w:p>
            <w:pPr>
              <w:numPr>
                <w:ilvl w:val="255"/>
                <w:numId w:val="0"/>
              </w:numPr>
              <w:spacing w:line="360" w:lineRule="auto"/>
              <w:ind w:firstLine="480" w:firstLineChars="200"/>
              <w:jc w:val="left"/>
              <w:rPr>
                <w:rFonts w:ascii="宋体" w:hAnsi="宋体" w:eastAsia="宋体" w:cs="宋体"/>
                <w:sz w:val="24"/>
                <w:szCs w:val="24"/>
              </w:rPr>
            </w:pPr>
            <w:r>
              <w:rPr>
                <w:rFonts w:hint="eastAsia" w:ascii="宋体" w:hAnsi="宋体" w:eastAsia="宋体" w:cs="宋体"/>
                <w:sz w:val="24"/>
                <w:szCs w:val="24"/>
              </w:rPr>
              <w:t>1、服务期内，客户正常使用条件下，每次发生仪器故障，需进行维修所需更换的故障零件费用，原厂工程师上门费、工时费、差旅费等全部由中标供应商负责。</w:t>
            </w:r>
          </w:p>
          <w:p>
            <w:pPr>
              <w:numPr>
                <w:ilvl w:val="255"/>
                <w:numId w:val="0"/>
              </w:numPr>
              <w:spacing w:line="360" w:lineRule="auto"/>
              <w:ind w:firstLine="480" w:firstLineChars="200"/>
              <w:jc w:val="left"/>
              <w:rPr>
                <w:rFonts w:ascii="宋体" w:hAnsi="宋体" w:eastAsia="宋体" w:cs="宋体"/>
                <w:sz w:val="24"/>
                <w:szCs w:val="24"/>
              </w:rPr>
            </w:pPr>
            <w:r>
              <w:rPr>
                <w:rFonts w:hint="eastAsia" w:ascii="宋体" w:hAnsi="宋体" w:eastAsia="宋体" w:cs="宋体"/>
                <w:sz w:val="24"/>
                <w:szCs w:val="24"/>
              </w:rPr>
              <w:t>2、服务期内由设备原厂工程师为每台仪器提供预防性维护保养及校正（PM）2次，该保养的流程，首先需要对仪器进行全面拆解，而且对于核心的功能模块，会进行彻底的清理、调节和测量，并依照工厂标准进行量化核对。</w:t>
            </w:r>
          </w:p>
          <w:p>
            <w:pPr>
              <w:numPr>
                <w:ilvl w:val="255"/>
                <w:numId w:val="0"/>
              </w:numPr>
              <w:spacing w:line="360" w:lineRule="auto"/>
              <w:ind w:firstLine="482" w:firstLineChars="200"/>
              <w:jc w:val="left"/>
              <w:rPr>
                <w:rFonts w:ascii="宋体" w:hAnsi="宋体" w:eastAsia="宋体" w:cs="宋体"/>
                <w:b/>
                <w:bCs/>
                <w:sz w:val="24"/>
                <w:szCs w:val="24"/>
              </w:rPr>
            </w:pPr>
            <w:r>
              <w:rPr>
                <w:rFonts w:hint="eastAsia" w:ascii="宋体" w:hAnsi="宋体" w:eastAsia="宋体" w:cs="宋体"/>
                <w:b/>
                <w:bCs/>
                <w:sz w:val="24"/>
                <w:szCs w:val="24"/>
              </w:rPr>
              <w:t>证明文件：中标人承诺中标后更换或升级的配件、软件等，保证原厂正品。（中标人提供承诺函，格式自拟）</w:t>
            </w:r>
          </w:p>
          <w:p>
            <w:pPr>
              <w:numPr>
                <w:ilvl w:val="255"/>
                <w:numId w:val="0"/>
              </w:numPr>
              <w:spacing w:line="360" w:lineRule="auto"/>
              <w:ind w:firstLine="480" w:firstLineChars="200"/>
              <w:jc w:val="left"/>
              <w:rPr>
                <w:rFonts w:ascii="宋体" w:hAnsi="宋体" w:eastAsia="宋体" w:cs="宋体"/>
                <w:sz w:val="24"/>
                <w:szCs w:val="24"/>
              </w:rPr>
            </w:pPr>
            <w:r>
              <w:rPr>
                <w:rFonts w:hint="eastAsia" w:ascii="宋体" w:hAnsi="宋体" w:eastAsia="宋体" w:cs="宋体"/>
                <w:sz w:val="24"/>
                <w:szCs w:val="24"/>
              </w:rPr>
              <w:t>3、如果发现存在不符合标准的零件，将进行更换，以将仪器性能优化至最佳状态，并减少仪器故障和延长仪器使用寿命。</w:t>
            </w:r>
          </w:p>
          <w:p>
            <w:pPr>
              <w:numPr>
                <w:ilvl w:val="255"/>
                <w:numId w:val="0"/>
              </w:numPr>
              <w:spacing w:line="360" w:lineRule="auto"/>
              <w:ind w:firstLine="480" w:firstLineChars="200"/>
              <w:jc w:val="left"/>
              <w:rPr>
                <w:rFonts w:ascii="宋体" w:hAnsi="宋体" w:eastAsia="宋体" w:cs="宋体"/>
                <w:sz w:val="24"/>
                <w:szCs w:val="24"/>
              </w:rPr>
            </w:pPr>
            <w:r>
              <w:rPr>
                <w:rFonts w:hint="eastAsia" w:ascii="宋体" w:hAnsi="宋体" w:eastAsia="宋体" w:cs="宋体"/>
                <w:sz w:val="24"/>
                <w:szCs w:val="24"/>
              </w:rPr>
              <w:t>4、电话热线服务：服务时间为7*24小时及时响应。</w:t>
            </w:r>
          </w:p>
          <w:p>
            <w:pPr>
              <w:numPr>
                <w:ilvl w:val="255"/>
                <w:numId w:val="0"/>
              </w:numPr>
              <w:spacing w:line="360" w:lineRule="auto"/>
              <w:ind w:firstLine="480" w:firstLineChars="200"/>
              <w:jc w:val="left"/>
              <w:rPr>
                <w:rFonts w:ascii="宋体" w:hAnsi="宋体" w:eastAsia="宋体" w:cs="宋体"/>
                <w:sz w:val="24"/>
                <w:szCs w:val="24"/>
              </w:rPr>
            </w:pPr>
            <w:r>
              <w:rPr>
                <w:rFonts w:hint="eastAsia" w:ascii="宋体" w:hAnsi="宋体" w:eastAsia="宋体" w:cs="宋体"/>
                <w:sz w:val="24"/>
                <w:szCs w:val="24"/>
              </w:rPr>
              <w:t>5、对仪器列表中所有仪器提供维修维护服务：全年保修的仪器，包含所有工时及备件。</w:t>
            </w:r>
          </w:p>
          <w:p>
            <w:pPr>
              <w:numPr>
                <w:ilvl w:val="255"/>
                <w:numId w:val="0"/>
              </w:numPr>
              <w:spacing w:line="360" w:lineRule="auto"/>
              <w:ind w:firstLine="480" w:firstLineChars="200"/>
              <w:jc w:val="left"/>
              <w:rPr>
                <w:rFonts w:ascii="宋体" w:hAnsi="宋体" w:eastAsia="宋体" w:cs="宋体"/>
                <w:sz w:val="24"/>
                <w:szCs w:val="24"/>
              </w:rPr>
            </w:pPr>
            <w:r>
              <w:rPr>
                <w:rFonts w:hint="eastAsia" w:ascii="宋体" w:hAnsi="宋体" w:eastAsia="宋体" w:cs="宋体"/>
                <w:sz w:val="24"/>
                <w:szCs w:val="24"/>
              </w:rPr>
              <w:t>5.1远程技术支持：用户可以在仪器出现问题的第一时间拨打客服电话得到专属在线工程师的技术援助。在线工程师通过远程指导帮助用户解决仪器问题，或判断仪器故障。</w:t>
            </w:r>
          </w:p>
          <w:p>
            <w:pPr>
              <w:numPr>
                <w:ilvl w:val="255"/>
                <w:numId w:val="0"/>
              </w:numPr>
              <w:spacing w:line="360" w:lineRule="auto"/>
              <w:ind w:firstLine="480" w:firstLineChars="200"/>
              <w:jc w:val="left"/>
              <w:rPr>
                <w:rFonts w:ascii="宋体" w:hAnsi="宋体" w:eastAsia="宋体" w:cs="宋体"/>
                <w:sz w:val="24"/>
                <w:szCs w:val="24"/>
              </w:rPr>
            </w:pPr>
            <w:r>
              <w:rPr>
                <w:rFonts w:hint="eastAsia" w:ascii="宋体" w:hAnsi="宋体" w:eastAsia="宋体" w:cs="宋体"/>
                <w:sz w:val="24"/>
                <w:szCs w:val="24"/>
              </w:rPr>
              <w:t>5.2专属调度员：为客户的整包服务调拨专职调度员，协调和保障人力和物力资源。</w:t>
            </w:r>
          </w:p>
          <w:p>
            <w:pPr>
              <w:numPr>
                <w:ilvl w:val="255"/>
                <w:numId w:val="0"/>
              </w:numPr>
              <w:spacing w:line="360" w:lineRule="auto"/>
              <w:ind w:firstLine="480" w:firstLineChars="200"/>
              <w:jc w:val="left"/>
              <w:rPr>
                <w:rFonts w:ascii="宋体" w:hAnsi="宋体" w:eastAsia="宋体" w:cs="宋体"/>
                <w:sz w:val="24"/>
                <w:szCs w:val="24"/>
              </w:rPr>
            </w:pPr>
            <w:r>
              <w:rPr>
                <w:rFonts w:hint="eastAsia" w:ascii="宋体" w:hAnsi="宋体" w:eastAsia="宋体" w:cs="宋体"/>
                <w:sz w:val="24"/>
                <w:szCs w:val="24"/>
              </w:rPr>
              <w:t>5.3 专属核心仪器工程师：指派专属核心仪器工程师负责仪器设备的维修工作，保证工作的连续性。用户可拨打专属调度员或工程师电话报修，工程师1小时响应并到现场检查并维修。如果工程师8小时内无法解决问题，专属核心仪器工程师将在仪器报修后二个工作日内到达现场排除故障。</w:t>
            </w:r>
          </w:p>
          <w:p>
            <w:pPr>
              <w:numPr>
                <w:ilvl w:val="255"/>
                <w:numId w:val="0"/>
              </w:numPr>
              <w:spacing w:line="360" w:lineRule="auto"/>
              <w:ind w:firstLine="480" w:firstLineChars="200"/>
              <w:jc w:val="left"/>
              <w:rPr>
                <w:rFonts w:ascii="宋体" w:hAnsi="宋体" w:eastAsia="宋体" w:cs="宋体"/>
                <w:sz w:val="24"/>
                <w:szCs w:val="24"/>
              </w:rPr>
            </w:pPr>
            <w:r>
              <w:rPr>
                <w:rFonts w:hint="eastAsia" w:ascii="宋体" w:hAnsi="宋体" w:eastAsia="宋体" w:cs="宋体"/>
                <w:sz w:val="24"/>
                <w:szCs w:val="24"/>
              </w:rPr>
              <w:t>5.4 专属售后服务执行经理：负责协调解决在服务过程中出现的任何问题。</w:t>
            </w:r>
          </w:p>
          <w:p>
            <w:pPr>
              <w:numPr>
                <w:ilvl w:val="255"/>
                <w:numId w:val="0"/>
              </w:numPr>
              <w:spacing w:line="360" w:lineRule="auto"/>
              <w:ind w:firstLine="480" w:firstLineChars="200"/>
              <w:jc w:val="left"/>
              <w:rPr>
                <w:rFonts w:ascii="宋体" w:hAnsi="宋体" w:eastAsia="宋体" w:cs="宋体"/>
                <w:sz w:val="24"/>
                <w:szCs w:val="24"/>
              </w:rPr>
            </w:pPr>
            <w:r>
              <w:rPr>
                <w:rFonts w:hint="eastAsia" w:ascii="宋体" w:hAnsi="宋体" w:eastAsia="宋体" w:cs="宋体"/>
                <w:sz w:val="24"/>
                <w:szCs w:val="24"/>
              </w:rPr>
              <w:t>6、维修服务方式</w:t>
            </w:r>
          </w:p>
          <w:p>
            <w:pPr>
              <w:numPr>
                <w:ilvl w:val="255"/>
                <w:numId w:val="0"/>
              </w:numPr>
              <w:spacing w:line="360" w:lineRule="auto"/>
              <w:ind w:firstLine="480" w:firstLineChars="200"/>
              <w:jc w:val="left"/>
              <w:rPr>
                <w:rFonts w:ascii="宋体" w:hAnsi="宋体" w:eastAsia="宋体" w:cs="宋体"/>
                <w:sz w:val="24"/>
                <w:szCs w:val="24"/>
              </w:rPr>
            </w:pPr>
            <w:r>
              <w:rPr>
                <w:rFonts w:hint="eastAsia" w:ascii="宋体" w:hAnsi="宋体" w:eastAsia="宋体" w:cs="宋体"/>
                <w:sz w:val="24"/>
                <w:szCs w:val="24"/>
              </w:rPr>
              <w:t>维修方式针对精密仪器和通用仪器有所侧重。</w:t>
            </w:r>
          </w:p>
          <w:p>
            <w:pPr>
              <w:numPr>
                <w:ilvl w:val="255"/>
                <w:numId w:val="0"/>
              </w:numPr>
              <w:spacing w:line="360" w:lineRule="auto"/>
              <w:ind w:firstLine="480" w:firstLineChars="200"/>
              <w:jc w:val="left"/>
              <w:rPr>
                <w:rFonts w:ascii="宋体" w:hAnsi="宋体" w:eastAsia="宋体" w:cs="宋体"/>
                <w:sz w:val="24"/>
                <w:szCs w:val="24"/>
              </w:rPr>
            </w:pPr>
            <w:r>
              <w:rPr>
                <w:rFonts w:hint="eastAsia" w:ascii="宋体" w:hAnsi="宋体" w:eastAsia="宋体" w:cs="宋体"/>
                <w:sz w:val="24"/>
                <w:szCs w:val="24"/>
              </w:rPr>
              <w:t>6.1 优势维修服务</w:t>
            </w:r>
          </w:p>
          <w:p>
            <w:pPr>
              <w:numPr>
                <w:ilvl w:val="255"/>
                <w:numId w:val="0"/>
              </w:numPr>
              <w:spacing w:line="360" w:lineRule="auto"/>
              <w:ind w:firstLine="480" w:firstLineChars="200"/>
              <w:jc w:val="left"/>
              <w:rPr>
                <w:rFonts w:ascii="宋体" w:hAnsi="宋体" w:eastAsia="宋体" w:cs="宋体"/>
                <w:sz w:val="24"/>
                <w:szCs w:val="24"/>
              </w:rPr>
            </w:pPr>
            <w:r>
              <w:rPr>
                <w:rFonts w:hint="eastAsia" w:ascii="宋体" w:hAnsi="宋体" w:eastAsia="宋体" w:cs="宋体"/>
                <w:sz w:val="24"/>
                <w:szCs w:val="24"/>
              </w:rPr>
              <w:t>此服务针对购买了全年保修的仪器。优先响应时间；合同期内，仪器出现任何硬件故障，驻场工程师1小时响应并到现场检查并维修。如果工程师8小时内无法解决问题，核心产品工程师会在二个工作日内到现场排除故障。服务包含全年维修仪器所需的上门费、工时费、备件费、差旅费。</w:t>
            </w:r>
          </w:p>
          <w:p>
            <w:pPr>
              <w:numPr>
                <w:ilvl w:val="255"/>
                <w:numId w:val="0"/>
              </w:numPr>
              <w:spacing w:line="360" w:lineRule="auto"/>
              <w:ind w:firstLine="480" w:firstLineChars="200"/>
              <w:jc w:val="left"/>
              <w:rPr>
                <w:rFonts w:ascii="宋体" w:hAnsi="宋体" w:eastAsia="宋体" w:cs="宋体"/>
                <w:sz w:val="24"/>
                <w:szCs w:val="24"/>
              </w:rPr>
            </w:pPr>
            <w:r>
              <w:rPr>
                <w:rFonts w:hint="eastAsia" w:ascii="宋体" w:hAnsi="宋体" w:eastAsia="宋体" w:cs="宋体"/>
                <w:sz w:val="24"/>
                <w:szCs w:val="24"/>
              </w:rPr>
              <w:t>6.2 维修服务</w:t>
            </w:r>
          </w:p>
          <w:p>
            <w:pPr>
              <w:numPr>
                <w:ilvl w:val="255"/>
                <w:numId w:val="0"/>
              </w:numPr>
              <w:spacing w:line="360" w:lineRule="auto"/>
              <w:ind w:firstLine="480" w:firstLineChars="200"/>
              <w:jc w:val="left"/>
              <w:rPr>
                <w:rFonts w:ascii="宋体" w:hAnsi="宋体" w:eastAsia="宋体" w:cs="宋体"/>
                <w:sz w:val="24"/>
                <w:szCs w:val="24"/>
              </w:rPr>
            </w:pPr>
            <w:r>
              <w:rPr>
                <w:rFonts w:hint="eastAsia" w:ascii="宋体" w:hAnsi="宋体" w:eastAsia="宋体" w:cs="宋体"/>
                <w:sz w:val="24"/>
                <w:szCs w:val="24"/>
              </w:rPr>
              <w:t>此服务针对仪器列表中的所有仪器。优先响应时间；合同期内，仪器出现任何硬件故障，驻场工程师1小时响应并到现场检查并维修。如果工程师8小时内无法解决问题，核心产品工程师会在二个工作日内到现场排除故障。</w:t>
            </w:r>
          </w:p>
          <w:p>
            <w:pPr>
              <w:numPr>
                <w:ilvl w:val="255"/>
                <w:numId w:val="0"/>
              </w:numPr>
              <w:spacing w:line="360" w:lineRule="auto"/>
              <w:ind w:firstLine="480" w:firstLineChars="200"/>
              <w:jc w:val="left"/>
              <w:rPr>
                <w:rFonts w:ascii="宋体" w:hAnsi="宋体" w:eastAsia="宋体" w:cs="宋体"/>
                <w:sz w:val="24"/>
                <w:szCs w:val="24"/>
              </w:rPr>
            </w:pPr>
            <w:r>
              <w:rPr>
                <w:rFonts w:hint="eastAsia" w:ascii="宋体" w:hAnsi="宋体" w:eastAsia="宋体" w:cs="宋体"/>
                <w:sz w:val="24"/>
                <w:szCs w:val="24"/>
              </w:rPr>
              <w:t>7、KPI指标（Key performance indicator）</w:t>
            </w:r>
          </w:p>
          <w:p>
            <w:pPr>
              <w:numPr>
                <w:ilvl w:val="255"/>
                <w:numId w:val="0"/>
              </w:numPr>
              <w:spacing w:line="360" w:lineRule="auto"/>
              <w:ind w:firstLine="480" w:firstLineChars="200"/>
              <w:jc w:val="left"/>
              <w:rPr>
                <w:rFonts w:ascii="宋体" w:hAnsi="宋体" w:eastAsia="宋体" w:cs="宋体"/>
                <w:sz w:val="24"/>
                <w:szCs w:val="24"/>
              </w:rPr>
            </w:pPr>
            <w:r>
              <w:rPr>
                <w:rFonts w:hint="eastAsia" w:ascii="宋体" w:hAnsi="宋体" w:eastAsia="宋体" w:cs="宋体"/>
                <w:sz w:val="24"/>
                <w:szCs w:val="24"/>
              </w:rPr>
              <w:t>7.1 在用户电话报修后保证两小时内由工程师电话响应或到达用户现场。</w:t>
            </w:r>
          </w:p>
          <w:p>
            <w:pPr>
              <w:numPr>
                <w:ilvl w:val="255"/>
                <w:numId w:val="0"/>
              </w:numPr>
              <w:spacing w:line="360" w:lineRule="auto"/>
              <w:ind w:firstLine="480" w:firstLineChars="200"/>
              <w:jc w:val="left"/>
              <w:rPr>
                <w:rFonts w:ascii="宋体" w:hAnsi="宋体" w:eastAsia="宋体" w:cs="宋体"/>
                <w:sz w:val="24"/>
                <w:szCs w:val="24"/>
              </w:rPr>
            </w:pPr>
            <w:r>
              <w:rPr>
                <w:rFonts w:hint="eastAsia" w:ascii="宋体" w:hAnsi="宋体" w:eastAsia="宋体" w:cs="宋体"/>
                <w:sz w:val="24"/>
                <w:szCs w:val="24"/>
              </w:rPr>
              <w:t>响应时间＜1小时。</w:t>
            </w:r>
          </w:p>
          <w:p>
            <w:pPr>
              <w:numPr>
                <w:ilvl w:val="255"/>
                <w:numId w:val="0"/>
              </w:numPr>
              <w:spacing w:line="360" w:lineRule="auto"/>
              <w:ind w:firstLine="480" w:firstLineChars="200"/>
              <w:jc w:val="left"/>
              <w:rPr>
                <w:rFonts w:ascii="宋体" w:hAnsi="宋体" w:eastAsia="宋体" w:cs="宋体"/>
                <w:sz w:val="24"/>
                <w:szCs w:val="24"/>
              </w:rPr>
            </w:pPr>
            <w:r>
              <w:rPr>
                <w:rFonts w:hint="eastAsia" w:ascii="宋体" w:hAnsi="宋体" w:eastAsia="宋体" w:cs="宋体"/>
                <w:sz w:val="24"/>
                <w:szCs w:val="24"/>
              </w:rPr>
              <w:t>7.2 对于核心仪器的维修将在核心工程师到现场后的2个工作日内完成，停机时间(核心仪器)≤2工作日。</w:t>
            </w:r>
          </w:p>
          <w:p>
            <w:pPr>
              <w:numPr>
                <w:ilvl w:val="255"/>
                <w:numId w:val="0"/>
              </w:numPr>
              <w:spacing w:line="360" w:lineRule="auto"/>
              <w:ind w:firstLine="480" w:firstLineChars="200"/>
              <w:jc w:val="left"/>
              <w:rPr>
                <w:rFonts w:ascii="宋体" w:hAnsi="宋体" w:eastAsia="宋体" w:cs="宋体"/>
                <w:sz w:val="24"/>
                <w:szCs w:val="24"/>
              </w:rPr>
            </w:pPr>
            <w:r>
              <w:rPr>
                <w:rFonts w:hint="eastAsia" w:ascii="宋体" w:hAnsi="宋体" w:eastAsia="宋体" w:cs="宋体"/>
                <w:sz w:val="24"/>
                <w:szCs w:val="24"/>
              </w:rPr>
              <w:t>8、分析仪器的特定维护服务</w:t>
            </w:r>
          </w:p>
          <w:p>
            <w:pPr>
              <w:numPr>
                <w:ilvl w:val="255"/>
                <w:numId w:val="0"/>
              </w:numPr>
              <w:spacing w:line="360" w:lineRule="auto"/>
              <w:ind w:firstLine="480" w:firstLineChars="200"/>
              <w:jc w:val="left"/>
              <w:rPr>
                <w:rFonts w:ascii="宋体" w:hAnsi="宋体" w:eastAsia="宋体" w:cs="宋体"/>
                <w:sz w:val="24"/>
                <w:szCs w:val="24"/>
              </w:rPr>
            </w:pPr>
            <w:r>
              <w:rPr>
                <w:rFonts w:hint="eastAsia" w:ascii="宋体" w:hAnsi="宋体" w:eastAsia="宋体" w:cs="宋体"/>
                <w:sz w:val="24"/>
                <w:szCs w:val="24"/>
              </w:rPr>
              <w:t>要保证仪器的长期稳定运行，有计划的，周期性的预防性维护工作必不可少。在所有需要工程师上门的维修中，相当一部分是由于对于易磨损部件没有及时更换造成，这类所谓的仪器故障，以及仪器停机带来的损失和工程师上门维修所产生的成本，都可以通过事先的、有计划性的仪器维护来避免。提供仪器预防性维护服务，能够及时更换仪器上的易磨损的部件和消耗品，有效降低仪器的故障率和停机时间。</w:t>
            </w:r>
          </w:p>
          <w:p>
            <w:pPr>
              <w:numPr>
                <w:ilvl w:val="255"/>
                <w:numId w:val="0"/>
              </w:numPr>
              <w:spacing w:line="360" w:lineRule="auto"/>
              <w:ind w:firstLine="480" w:firstLineChars="200"/>
              <w:jc w:val="left"/>
              <w:rPr>
                <w:rFonts w:ascii="宋体" w:hAnsi="宋体" w:eastAsia="宋体" w:cs="宋体"/>
                <w:kern w:val="0"/>
                <w:sz w:val="24"/>
                <w:szCs w:val="24"/>
              </w:rPr>
            </w:pPr>
            <w:r>
              <w:rPr>
                <w:rFonts w:hint="eastAsia" w:ascii="宋体" w:hAnsi="宋体" w:eastAsia="宋体" w:cs="宋体"/>
                <w:sz w:val="24"/>
                <w:szCs w:val="24"/>
              </w:rPr>
              <w:t>9、现场服务所用零部件均为新部件，所换下的部件由仪器公司维保工程师带回统一处理。</w:t>
            </w:r>
          </w:p>
        </w:tc>
        <w:tc>
          <w:tcPr>
            <w:tcW w:w="1341" w:type="pct"/>
            <w:vAlign w:val="center"/>
          </w:tcPr>
          <w:p>
            <w:pPr>
              <w:jc w:val="center"/>
              <w:rPr>
                <w:rFonts w:ascii="宋体" w:hAnsi="宋体" w:eastAsia="宋体" w:cs="宋体"/>
                <w:kern w:val="0"/>
                <w:sz w:val="24"/>
                <w:szCs w:val="24"/>
              </w:rPr>
            </w:pPr>
          </w:p>
        </w:tc>
        <w:tc>
          <w:tcPr>
            <w:tcW w:w="382" w:type="pct"/>
            <w:vAlign w:val="center"/>
          </w:tcPr>
          <w:p>
            <w:pPr>
              <w:jc w:val="center"/>
              <w:rPr>
                <w:rFonts w:ascii="宋体" w:hAnsi="宋体" w:eastAsia="宋体" w:cs="宋体"/>
                <w:kern w:val="0"/>
                <w:sz w:val="24"/>
                <w:szCs w:val="24"/>
              </w:rPr>
            </w:pPr>
          </w:p>
        </w:tc>
        <w:tc>
          <w:tcPr>
            <w:tcW w:w="382" w:type="pct"/>
            <w:vAlign w:val="center"/>
          </w:tcPr>
          <w:p>
            <w:pPr>
              <w:jc w:val="center"/>
              <w:rPr>
                <w:rFonts w:ascii="宋体" w:hAnsi="宋体" w:eastAsia="宋体" w:cs="宋体"/>
                <w:kern w:val="0"/>
                <w:sz w:val="24"/>
                <w:szCs w:val="24"/>
              </w:rPr>
            </w:pPr>
          </w:p>
        </w:tc>
      </w:tr>
    </w:tbl>
    <w:p>
      <w:pPr>
        <w:pStyle w:val="39"/>
        <w:spacing w:line="360" w:lineRule="auto"/>
        <w:ind w:firstLine="547" w:firstLineChars="228"/>
        <w:jc w:val="left"/>
        <w:rPr>
          <w:rFonts w:ascii="宋体" w:hAnsi="宋体" w:cs="宋体"/>
          <w:sz w:val="24"/>
        </w:rPr>
      </w:pPr>
    </w:p>
    <w:p>
      <w:pPr>
        <w:pStyle w:val="39"/>
        <w:spacing w:line="360" w:lineRule="auto"/>
        <w:ind w:firstLine="547" w:firstLineChars="228"/>
        <w:jc w:val="left"/>
        <w:rPr>
          <w:rFonts w:ascii="宋体" w:hAnsi="宋体" w:cs="宋体"/>
          <w:sz w:val="24"/>
        </w:rPr>
      </w:pPr>
      <w:r>
        <w:rPr>
          <w:rFonts w:hint="eastAsia" w:ascii="宋体" w:hAnsi="宋体" w:cs="宋体"/>
          <w:sz w:val="24"/>
        </w:rPr>
        <w:t>注：供应商需</w:t>
      </w:r>
      <w:r>
        <w:rPr>
          <w:rFonts w:hint="eastAsia" w:ascii="宋体" w:hAnsi="宋体" w:cs="宋体"/>
          <w:b/>
          <w:sz w:val="24"/>
        </w:rPr>
        <w:t>逐项完整填写</w:t>
      </w:r>
      <w:r>
        <w:rPr>
          <w:rFonts w:hint="eastAsia" w:ascii="宋体" w:hAnsi="宋体" w:cs="宋体"/>
          <w:sz w:val="24"/>
        </w:rPr>
        <w:t>，</w:t>
      </w:r>
      <w:r>
        <w:rPr>
          <w:rFonts w:hint="eastAsia" w:ascii="宋体" w:hAnsi="宋体" w:cs="宋体"/>
          <w:snapToGrid w:val="0"/>
          <w:kern w:val="0"/>
          <w:sz w:val="24"/>
        </w:rPr>
        <w:t>应答文件技术要求响应条款</w:t>
      </w:r>
      <w:r>
        <w:rPr>
          <w:rFonts w:hint="eastAsia" w:ascii="宋体" w:hAnsi="宋体"/>
          <w:b/>
          <w:sz w:val="24"/>
        </w:rPr>
        <w:t>不得</w:t>
      </w:r>
      <w:r>
        <w:rPr>
          <w:rFonts w:hint="eastAsia" w:ascii="宋体" w:hAnsi="宋体"/>
          <w:sz w:val="24"/>
        </w:rPr>
        <w:t>简单填写“响应”或“完全响应”</w:t>
      </w:r>
      <w:r>
        <w:rPr>
          <w:rFonts w:hint="eastAsia" w:ascii="宋体" w:hAnsi="宋体" w:cs="宋体"/>
          <w:sz w:val="24"/>
        </w:rPr>
        <w:t>。</w:t>
      </w:r>
    </w:p>
    <w:p>
      <w:pPr>
        <w:pStyle w:val="39"/>
        <w:spacing w:line="360" w:lineRule="auto"/>
        <w:ind w:firstLine="547" w:firstLineChars="228"/>
        <w:jc w:val="left"/>
        <w:rPr>
          <w:rFonts w:ascii="宋体" w:hAnsi="宋体" w:cs="宋体"/>
          <w:sz w:val="24"/>
        </w:rPr>
      </w:pPr>
      <w:r>
        <w:rPr>
          <w:rFonts w:hint="eastAsia" w:ascii="宋体" w:hAnsi="宋体" w:cs="宋体"/>
          <w:sz w:val="24"/>
        </w:rPr>
        <w:t>供应商须对上述条款逐条响应，如有一条负偏离视为未实质性响应，</w:t>
      </w:r>
      <w:r>
        <w:rPr>
          <w:rFonts w:hint="eastAsia" w:ascii="宋体" w:hAnsi="宋体" w:cs="宋体"/>
          <w:b/>
          <w:color w:val="FF0000"/>
          <w:sz w:val="24"/>
        </w:rPr>
        <w:t>做投标无效处理</w:t>
      </w:r>
      <w:r>
        <w:rPr>
          <w:rFonts w:hint="eastAsia" w:ascii="宋体" w:hAnsi="宋体" w:cs="宋体"/>
          <w:color w:val="FF0000"/>
          <w:sz w:val="24"/>
        </w:rPr>
        <w:t>。</w:t>
      </w:r>
    </w:p>
    <w:p>
      <w:pPr>
        <w:pStyle w:val="39"/>
        <w:spacing w:line="360" w:lineRule="auto"/>
        <w:ind w:firstLine="547" w:firstLineChars="228"/>
        <w:jc w:val="left"/>
        <w:rPr>
          <w:rFonts w:ascii="宋体" w:hAnsi="宋体" w:cs="宋体"/>
          <w:sz w:val="24"/>
        </w:rPr>
      </w:pPr>
    </w:p>
    <w:p>
      <w:pPr>
        <w:snapToGrid w:val="0"/>
        <w:spacing w:line="360" w:lineRule="auto"/>
        <w:ind w:firstLine="4008" w:firstLineChars="1670"/>
        <w:rPr>
          <w:rFonts w:ascii="宋体" w:hAnsi="宋体" w:eastAsia="宋体"/>
          <w:sz w:val="24"/>
          <w:szCs w:val="24"/>
        </w:rPr>
      </w:pPr>
      <w:r>
        <w:rPr>
          <w:rFonts w:hint="eastAsia" w:ascii="宋体" w:hAnsi="宋体" w:eastAsia="宋体"/>
          <w:sz w:val="24"/>
          <w:szCs w:val="24"/>
        </w:rPr>
        <w:t xml:space="preserve">供应商（盖章）： </w:t>
      </w:r>
    </w:p>
    <w:p>
      <w:pPr>
        <w:snapToGrid w:val="0"/>
        <w:spacing w:line="360" w:lineRule="auto"/>
        <w:ind w:firstLine="4008" w:firstLineChars="1670"/>
        <w:rPr>
          <w:rFonts w:ascii="宋体" w:hAnsi="宋体" w:eastAsia="宋体" w:cs="Arial"/>
          <w:bCs/>
          <w:sz w:val="24"/>
          <w:szCs w:val="24"/>
        </w:rPr>
      </w:pPr>
      <w:r>
        <w:rPr>
          <w:rFonts w:hint="eastAsia" w:ascii="宋体" w:hAnsi="宋体" w:eastAsia="宋体" w:cs="Arial"/>
          <w:bCs/>
          <w:sz w:val="24"/>
          <w:szCs w:val="24"/>
        </w:rPr>
        <w:t>日  期：       年    月   日</w:t>
      </w:r>
    </w:p>
    <w:p>
      <w:pPr>
        <w:rPr>
          <w:rFonts w:ascii="宋体" w:hAnsi="宋体" w:cs="宋体"/>
          <w:szCs w:val="21"/>
        </w:rPr>
      </w:pPr>
      <w:r>
        <w:rPr>
          <w:rFonts w:hint="eastAsia" w:ascii="宋体" w:hAnsi="宋体" w:cs="宋体"/>
          <w:szCs w:val="21"/>
        </w:rPr>
        <w:br w:type="page"/>
      </w:r>
    </w:p>
    <w:p>
      <w:pPr>
        <w:pStyle w:val="5"/>
        <w:rPr>
          <w:rStyle w:val="37"/>
          <w:b/>
          <w:bCs/>
        </w:rPr>
        <w:sectPr>
          <w:headerReference r:id="rId3" w:type="default"/>
          <w:footerReference r:id="rId4" w:type="default"/>
          <w:pgSz w:w="11906" w:h="16838"/>
          <w:pgMar w:top="1610" w:right="1896" w:bottom="1610" w:left="1894" w:header="851" w:footer="992" w:gutter="0"/>
          <w:cols w:space="425" w:num="1"/>
          <w:docGrid w:type="lines" w:linePitch="312" w:charSpace="0"/>
        </w:sectPr>
      </w:pPr>
    </w:p>
    <w:p>
      <w:pPr>
        <w:pStyle w:val="5"/>
        <w:numPr>
          <w:ilvl w:val="0"/>
          <w:numId w:val="1"/>
        </w:numPr>
        <w:rPr>
          <w:rStyle w:val="37"/>
          <w:b/>
          <w:bCs/>
        </w:rPr>
      </w:pPr>
      <w:bookmarkStart w:id="109" w:name="_Toc7382"/>
      <w:bookmarkStart w:id="110" w:name="_Toc14888"/>
      <w:bookmarkStart w:id="111" w:name="_Toc9225"/>
      <w:r>
        <w:rPr>
          <w:rStyle w:val="37"/>
          <w:rFonts w:hint="eastAsia"/>
          <w:b/>
          <w:bCs/>
        </w:rPr>
        <w:t>投标报价表</w:t>
      </w:r>
      <w:bookmarkEnd w:id="109"/>
      <w:bookmarkEnd w:id="110"/>
      <w:bookmarkEnd w:id="111"/>
    </w:p>
    <w:p>
      <w:pPr>
        <w:pStyle w:val="5"/>
        <w:rPr>
          <w:rStyle w:val="37"/>
          <w:b/>
          <w:bCs/>
        </w:rPr>
      </w:pPr>
      <w:bookmarkStart w:id="112" w:name="_Toc18542"/>
      <w:bookmarkStart w:id="113" w:name="_Toc23714"/>
      <w:bookmarkStart w:id="114" w:name="_Toc6916"/>
      <w:r>
        <w:rPr>
          <w:rStyle w:val="37"/>
          <w:rFonts w:hint="eastAsia"/>
          <w:b/>
          <w:bCs/>
        </w:rPr>
        <w:t>（一）开标一览表</w:t>
      </w:r>
      <w:bookmarkEnd w:id="112"/>
      <w:bookmarkEnd w:id="113"/>
      <w:bookmarkEnd w:id="114"/>
    </w:p>
    <w:p>
      <w:pPr>
        <w:spacing w:line="400" w:lineRule="exact"/>
        <w:rPr>
          <w:rStyle w:val="42"/>
          <w:rFonts w:eastAsia="宋体"/>
        </w:rPr>
      </w:pPr>
    </w:p>
    <w:p>
      <w:pPr>
        <w:tabs>
          <w:tab w:val="left" w:pos="7740"/>
        </w:tabs>
        <w:adjustRightInd w:val="0"/>
        <w:snapToGrid w:val="0"/>
        <w:spacing w:line="360" w:lineRule="auto"/>
        <w:rPr>
          <w:rFonts w:ascii="宋体" w:hAnsi="宋体" w:eastAsia="宋体"/>
          <w:sz w:val="24"/>
          <w:szCs w:val="24"/>
          <w:u w:val="single"/>
        </w:rPr>
      </w:pPr>
      <w:r>
        <w:rPr>
          <w:rFonts w:hint="eastAsia" w:ascii="宋体" w:hAnsi="宋体" w:eastAsia="宋体"/>
          <w:sz w:val="24"/>
          <w:szCs w:val="24"/>
        </w:rPr>
        <w:t>项目名称：   项目编号：</w:t>
      </w:r>
    </w:p>
    <w:tbl>
      <w:tblPr>
        <w:tblStyle w:val="2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07"/>
        <w:gridCol w:w="1632"/>
        <w:gridCol w:w="4075"/>
        <w:gridCol w:w="11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1127" w:type="pct"/>
            <w:vAlign w:val="center"/>
          </w:tcPr>
          <w:p>
            <w:pPr>
              <w:adjustRightInd w:val="0"/>
              <w:snapToGrid w:val="0"/>
              <w:jc w:val="center"/>
              <w:rPr>
                <w:rFonts w:ascii="宋体" w:hAnsi="宋体" w:eastAsia="宋体"/>
                <w:b/>
                <w:sz w:val="24"/>
                <w:szCs w:val="24"/>
              </w:rPr>
            </w:pPr>
            <w:r>
              <w:rPr>
                <w:rFonts w:hint="eastAsia" w:ascii="宋体" w:hAnsi="宋体" w:eastAsia="宋体"/>
                <w:b/>
                <w:sz w:val="24"/>
                <w:szCs w:val="24"/>
              </w:rPr>
              <w:t>项目名称</w:t>
            </w:r>
          </w:p>
        </w:tc>
        <w:tc>
          <w:tcPr>
            <w:tcW w:w="916" w:type="pct"/>
            <w:vAlign w:val="center"/>
          </w:tcPr>
          <w:p>
            <w:pPr>
              <w:adjustRightInd w:val="0"/>
              <w:snapToGrid w:val="0"/>
              <w:jc w:val="center"/>
              <w:rPr>
                <w:rFonts w:ascii="宋体" w:hAnsi="宋体" w:eastAsia="宋体"/>
                <w:b/>
                <w:sz w:val="24"/>
                <w:szCs w:val="24"/>
              </w:rPr>
            </w:pPr>
            <w:r>
              <w:rPr>
                <w:rFonts w:hint="eastAsia" w:ascii="宋体" w:hAnsi="宋体" w:eastAsia="宋体"/>
                <w:b/>
                <w:sz w:val="24"/>
                <w:szCs w:val="24"/>
              </w:rPr>
              <w:t>数量</w:t>
            </w:r>
          </w:p>
        </w:tc>
        <w:tc>
          <w:tcPr>
            <w:tcW w:w="2288" w:type="pct"/>
            <w:vAlign w:val="center"/>
          </w:tcPr>
          <w:p>
            <w:pPr>
              <w:adjustRightInd w:val="0"/>
              <w:snapToGrid w:val="0"/>
              <w:jc w:val="center"/>
              <w:rPr>
                <w:rFonts w:ascii="宋体" w:hAnsi="宋体" w:eastAsia="宋体"/>
                <w:b/>
                <w:sz w:val="24"/>
                <w:szCs w:val="24"/>
              </w:rPr>
            </w:pPr>
            <w:r>
              <w:rPr>
                <w:rFonts w:hint="eastAsia" w:ascii="宋体" w:hAnsi="宋体" w:eastAsia="宋体"/>
                <w:b/>
                <w:sz w:val="24"/>
                <w:szCs w:val="24"/>
              </w:rPr>
              <w:t>投标报价</w:t>
            </w:r>
          </w:p>
          <w:p>
            <w:pPr>
              <w:adjustRightInd w:val="0"/>
              <w:snapToGrid w:val="0"/>
              <w:jc w:val="center"/>
              <w:rPr>
                <w:rFonts w:ascii="宋体" w:hAnsi="宋体" w:eastAsia="宋体"/>
                <w:b/>
                <w:sz w:val="24"/>
                <w:szCs w:val="24"/>
              </w:rPr>
            </w:pPr>
            <w:r>
              <w:rPr>
                <w:rFonts w:hint="eastAsia" w:ascii="宋体" w:hAnsi="宋体" w:eastAsia="宋体"/>
                <w:b/>
                <w:sz w:val="24"/>
                <w:szCs w:val="24"/>
              </w:rPr>
              <w:t>（人民币 元）</w:t>
            </w:r>
          </w:p>
        </w:tc>
        <w:tc>
          <w:tcPr>
            <w:tcW w:w="667" w:type="pct"/>
            <w:vAlign w:val="center"/>
          </w:tcPr>
          <w:p>
            <w:pPr>
              <w:adjustRightInd w:val="0"/>
              <w:snapToGrid w:val="0"/>
              <w:jc w:val="center"/>
              <w:rPr>
                <w:rFonts w:ascii="宋体" w:hAnsi="宋体" w:eastAsia="宋体"/>
                <w:b/>
                <w:sz w:val="24"/>
                <w:szCs w:val="24"/>
              </w:rPr>
            </w:pPr>
            <w:r>
              <w:rPr>
                <w:rFonts w:hint="eastAsia" w:ascii="宋体" w:hAnsi="宋体" w:eastAsia="宋体"/>
                <w:b/>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87" w:hRule="atLeast"/>
        </w:trPr>
        <w:tc>
          <w:tcPr>
            <w:tcW w:w="1127" w:type="pct"/>
            <w:vAlign w:val="center"/>
          </w:tcPr>
          <w:p>
            <w:pPr>
              <w:adjustRightInd w:val="0"/>
              <w:snapToGrid w:val="0"/>
              <w:jc w:val="center"/>
              <w:rPr>
                <w:rFonts w:ascii="宋体" w:hAnsi="宋体" w:eastAsia="宋体"/>
                <w:bCs/>
                <w:sz w:val="24"/>
                <w:szCs w:val="24"/>
              </w:rPr>
            </w:pPr>
            <w:r>
              <w:rPr>
                <w:rFonts w:hint="eastAsia" w:ascii="宋体" w:hAnsi="宋体" w:eastAsia="宋体"/>
                <w:bCs/>
                <w:sz w:val="24"/>
                <w:szCs w:val="24"/>
                <w:lang w:val="zh-CN"/>
              </w:rPr>
              <w:t>2024年化验科部分检验设备维保项目</w:t>
            </w:r>
          </w:p>
        </w:tc>
        <w:tc>
          <w:tcPr>
            <w:tcW w:w="916" w:type="pct"/>
            <w:vAlign w:val="center"/>
          </w:tcPr>
          <w:p>
            <w:pPr>
              <w:adjustRightInd w:val="0"/>
              <w:snapToGrid w:val="0"/>
              <w:jc w:val="center"/>
              <w:rPr>
                <w:rFonts w:ascii="宋体" w:hAnsi="宋体" w:eastAsia="宋体"/>
                <w:bCs/>
                <w:sz w:val="24"/>
                <w:szCs w:val="24"/>
              </w:rPr>
            </w:pPr>
            <w:r>
              <w:rPr>
                <w:rFonts w:hint="eastAsia" w:ascii="宋体" w:hAnsi="宋体" w:eastAsia="宋体"/>
                <w:bCs/>
                <w:sz w:val="24"/>
                <w:szCs w:val="24"/>
              </w:rPr>
              <w:t>1项</w:t>
            </w:r>
          </w:p>
        </w:tc>
        <w:tc>
          <w:tcPr>
            <w:tcW w:w="2288" w:type="pct"/>
            <w:vAlign w:val="center"/>
          </w:tcPr>
          <w:p>
            <w:pPr>
              <w:adjustRightInd w:val="0"/>
              <w:snapToGrid w:val="0"/>
              <w:rPr>
                <w:rFonts w:ascii="宋体" w:hAnsi="宋体" w:eastAsia="宋体"/>
                <w:bCs/>
                <w:sz w:val="24"/>
                <w:szCs w:val="24"/>
                <w:u w:val="single"/>
              </w:rPr>
            </w:pPr>
            <w:r>
              <w:rPr>
                <w:rFonts w:hint="eastAsia" w:ascii="宋体" w:hAnsi="宋体" w:eastAsia="宋体"/>
                <w:bCs/>
                <w:sz w:val="24"/>
                <w:szCs w:val="24"/>
              </w:rPr>
              <w:t>小写：</w:t>
            </w:r>
            <w:r>
              <w:rPr>
                <w:rFonts w:hint="eastAsia" w:ascii="Batang" w:hAnsi="Batang" w:eastAsia="Batang"/>
                <w:bCs/>
                <w:sz w:val="24"/>
                <w:szCs w:val="24"/>
              </w:rPr>
              <w:t>￥</w:t>
            </w:r>
          </w:p>
          <w:p>
            <w:pPr>
              <w:adjustRightInd w:val="0"/>
              <w:snapToGrid w:val="0"/>
              <w:rPr>
                <w:rFonts w:ascii="宋体" w:hAnsi="宋体" w:eastAsia="宋体"/>
                <w:bCs/>
                <w:sz w:val="24"/>
                <w:szCs w:val="24"/>
                <w:u w:val="single"/>
              </w:rPr>
            </w:pPr>
            <w:r>
              <w:rPr>
                <w:rFonts w:hint="eastAsia" w:ascii="宋体" w:hAnsi="宋体" w:eastAsia="宋体"/>
                <w:bCs/>
                <w:sz w:val="24"/>
                <w:szCs w:val="24"/>
              </w:rPr>
              <w:t>大写：人民币</w:t>
            </w:r>
          </w:p>
        </w:tc>
        <w:tc>
          <w:tcPr>
            <w:tcW w:w="667" w:type="pct"/>
            <w:vAlign w:val="center"/>
          </w:tcPr>
          <w:p>
            <w:pPr>
              <w:pStyle w:val="43"/>
              <w:spacing w:line="240" w:lineRule="auto"/>
              <w:ind w:left="-44" w:leftChars="-21" w:right="-69" w:rightChars="-33"/>
              <w:rPr>
                <w:rFonts w:ascii="宋体" w:hAnsi="宋体"/>
                <w:bCs/>
                <w:szCs w:val="24"/>
              </w:rPr>
            </w:pPr>
          </w:p>
        </w:tc>
      </w:tr>
    </w:tbl>
    <w:p>
      <w:pPr>
        <w:spacing w:line="360" w:lineRule="auto"/>
        <w:rPr>
          <w:rFonts w:ascii="宋体" w:hAnsi="宋体" w:eastAsia="宋体"/>
          <w:sz w:val="24"/>
          <w:szCs w:val="24"/>
        </w:rPr>
      </w:pPr>
    </w:p>
    <w:p>
      <w:pPr>
        <w:spacing w:line="360" w:lineRule="auto"/>
        <w:rPr>
          <w:rFonts w:ascii="宋体" w:hAnsi="宋体" w:eastAsia="宋体"/>
          <w:sz w:val="24"/>
          <w:szCs w:val="24"/>
        </w:rPr>
      </w:pPr>
      <w:r>
        <w:rPr>
          <w:rFonts w:hint="eastAsia" w:ascii="宋体" w:hAnsi="宋体" w:eastAsia="宋体"/>
          <w:sz w:val="24"/>
          <w:szCs w:val="24"/>
        </w:rPr>
        <w:t>投标人名称（盖章）：</w:t>
      </w:r>
      <w:r>
        <w:rPr>
          <w:rFonts w:ascii="宋体" w:hAnsi="宋体" w:eastAsia="宋体"/>
          <w:sz w:val="24"/>
          <w:szCs w:val="24"/>
        </w:rPr>
        <w:t xml:space="preserve"> _____________ </w:t>
      </w:r>
    </w:p>
    <w:p>
      <w:pPr>
        <w:spacing w:line="360" w:lineRule="auto"/>
        <w:rPr>
          <w:rFonts w:ascii="宋体" w:hAnsi="宋体" w:eastAsia="宋体"/>
          <w:sz w:val="24"/>
          <w:szCs w:val="24"/>
        </w:rPr>
      </w:pPr>
      <w:r>
        <w:rPr>
          <w:rFonts w:hint="eastAsia" w:ascii="宋体" w:eastAsia="宋体" w:cs="宋体"/>
          <w:kern w:val="0"/>
          <w:sz w:val="24"/>
          <w:szCs w:val="24"/>
        </w:rPr>
        <w:t>法定代表人或其授权代表签字</w:t>
      </w:r>
      <w:r>
        <w:rPr>
          <w:rFonts w:hint="eastAsia" w:ascii="宋体" w:hAnsi="宋体" w:eastAsia="宋体"/>
          <w:sz w:val="24"/>
          <w:szCs w:val="24"/>
        </w:rPr>
        <w:t>：</w:t>
      </w:r>
      <w:r>
        <w:rPr>
          <w:rFonts w:ascii="宋体" w:hAnsi="宋体" w:eastAsia="宋体"/>
          <w:sz w:val="24"/>
          <w:szCs w:val="24"/>
        </w:rPr>
        <w:t xml:space="preserve">____________ </w:t>
      </w:r>
    </w:p>
    <w:p>
      <w:pPr>
        <w:autoSpaceDE w:val="0"/>
        <w:autoSpaceDN w:val="0"/>
        <w:adjustRightInd w:val="0"/>
        <w:rPr>
          <w:rFonts w:ascii="宋体" w:hAnsi="宋体" w:eastAsia="宋体"/>
          <w:b/>
          <w:sz w:val="24"/>
          <w:szCs w:val="24"/>
          <w:lang w:val="zh-CN"/>
        </w:rPr>
      </w:pPr>
      <w:r>
        <w:rPr>
          <w:rFonts w:hint="eastAsia" w:ascii="宋体" w:hAnsi="宋体" w:eastAsia="宋体"/>
          <w:sz w:val="24"/>
          <w:szCs w:val="24"/>
        </w:rPr>
        <w:t>日期：   年   月   日</w:t>
      </w:r>
    </w:p>
    <w:p>
      <w:pPr>
        <w:pStyle w:val="39"/>
        <w:spacing w:line="360" w:lineRule="auto"/>
        <w:ind w:firstLine="478" w:firstLineChars="228"/>
        <w:jc w:val="left"/>
      </w:pPr>
    </w:p>
    <w:p>
      <w:pPr>
        <w:pStyle w:val="39"/>
        <w:spacing w:line="360" w:lineRule="auto"/>
        <w:ind w:firstLine="478" w:firstLineChars="228"/>
        <w:jc w:val="left"/>
      </w:pPr>
    </w:p>
    <w:p>
      <w:pPr>
        <w:pStyle w:val="39"/>
        <w:spacing w:line="360" w:lineRule="auto"/>
        <w:ind w:firstLine="478" w:firstLineChars="228"/>
        <w:jc w:val="left"/>
      </w:pPr>
    </w:p>
    <w:p>
      <w:pPr>
        <w:rPr>
          <w:rStyle w:val="37"/>
        </w:rPr>
      </w:pPr>
      <w:r>
        <w:rPr>
          <w:rStyle w:val="37"/>
          <w:rFonts w:hint="eastAsia"/>
        </w:rPr>
        <w:br w:type="page"/>
      </w:r>
    </w:p>
    <w:p>
      <w:pPr>
        <w:pStyle w:val="5"/>
        <w:numPr>
          <w:ilvl w:val="0"/>
          <w:numId w:val="2"/>
        </w:numPr>
      </w:pPr>
      <w:bookmarkStart w:id="115" w:name="_Toc3819"/>
      <w:bookmarkStart w:id="116" w:name="_Toc24439"/>
      <w:bookmarkStart w:id="117" w:name="_Toc31549"/>
      <w:r>
        <w:rPr>
          <w:rStyle w:val="37"/>
          <w:rFonts w:hint="eastAsia"/>
          <w:b/>
          <w:bCs/>
        </w:rPr>
        <w:t>分项报价表</w:t>
      </w:r>
      <w:bookmarkEnd w:id="115"/>
      <w:bookmarkEnd w:id="116"/>
      <w:bookmarkEnd w:id="117"/>
    </w:p>
    <w:tbl>
      <w:tblPr>
        <w:tblStyle w:val="2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84"/>
        <w:gridCol w:w="1103"/>
        <w:gridCol w:w="1998"/>
        <w:gridCol w:w="1552"/>
        <w:gridCol w:w="1325"/>
        <w:gridCol w:w="12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62" w:type="pct"/>
            <w:shd w:val="clear" w:color="auto" w:fill="DCE6F2" w:themeFill="accent1" w:themeFillTint="32"/>
            <w:noWrap/>
            <w:vAlign w:val="center"/>
          </w:tcPr>
          <w:p>
            <w:pPr>
              <w:jc w:val="center"/>
              <w:rPr>
                <w:rFonts w:ascii="宋体" w:hAnsi="宋体"/>
                <w:b/>
                <w:sz w:val="24"/>
                <w:szCs w:val="24"/>
              </w:rPr>
            </w:pPr>
            <w:r>
              <w:rPr>
                <w:rFonts w:hint="eastAsia" w:ascii="宋体" w:hAnsi="宋体"/>
                <w:b/>
                <w:sz w:val="24"/>
                <w:szCs w:val="24"/>
              </w:rPr>
              <w:t>序号</w:t>
            </w:r>
          </w:p>
        </w:tc>
        <w:tc>
          <w:tcPr>
            <w:tcW w:w="1954" w:type="pct"/>
            <w:shd w:val="clear" w:color="auto" w:fill="DCE6F2" w:themeFill="accent1" w:themeFillTint="32"/>
            <w:noWrap/>
            <w:vAlign w:val="center"/>
          </w:tcPr>
          <w:p>
            <w:pPr>
              <w:jc w:val="center"/>
              <w:rPr>
                <w:rFonts w:ascii="宋体" w:hAnsi="宋体"/>
                <w:b/>
                <w:sz w:val="24"/>
                <w:szCs w:val="24"/>
              </w:rPr>
            </w:pPr>
            <w:r>
              <w:rPr>
                <w:rFonts w:hint="eastAsia" w:ascii="宋体" w:hAnsi="宋体"/>
                <w:b/>
                <w:bCs/>
                <w:sz w:val="24"/>
                <w:szCs w:val="24"/>
              </w:rPr>
              <w:t>服务内容</w:t>
            </w:r>
          </w:p>
        </w:tc>
        <w:tc>
          <w:tcPr>
            <w:tcW w:w="544" w:type="pct"/>
            <w:shd w:val="clear" w:color="auto" w:fill="DCE6F2" w:themeFill="accent1" w:themeFillTint="32"/>
            <w:noWrap/>
            <w:vAlign w:val="center"/>
          </w:tcPr>
          <w:p>
            <w:pPr>
              <w:jc w:val="center"/>
              <w:rPr>
                <w:rFonts w:ascii="宋体" w:hAnsi="宋体"/>
                <w:b/>
                <w:bCs/>
                <w:sz w:val="24"/>
                <w:szCs w:val="24"/>
              </w:rPr>
            </w:pPr>
            <w:r>
              <w:rPr>
                <w:rFonts w:hint="eastAsia" w:ascii="宋体" w:hAnsi="宋体" w:eastAsia="宋体" w:cs="宋体"/>
                <w:b/>
                <w:bCs/>
                <w:kern w:val="0"/>
                <w:sz w:val="24"/>
                <w:szCs w:val="24"/>
              </w:rPr>
              <w:t>最大许可数（个）</w:t>
            </w:r>
          </w:p>
        </w:tc>
        <w:tc>
          <w:tcPr>
            <w:tcW w:w="576" w:type="pct"/>
            <w:shd w:val="clear" w:color="auto" w:fill="DCE6F2" w:themeFill="accent1" w:themeFillTint="32"/>
            <w:noWrap/>
            <w:vAlign w:val="center"/>
          </w:tcPr>
          <w:p>
            <w:pPr>
              <w:jc w:val="center"/>
              <w:rPr>
                <w:rFonts w:ascii="宋体" w:hAnsi="宋体"/>
                <w:b/>
                <w:bCs/>
                <w:sz w:val="24"/>
                <w:szCs w:val="24"/>
              </w:rPr>
            </w:pPr>
            <w:r>
              <w:rPr>
                <w:rFonts w:hint="eastAsia" w:ascii="宋体" w:hAnsi="宋体" w:eastAsia="宋体" w:cs="宋体"/>
                <w:b/>
                <w:bCs/>
                <w:kern w:val="0"/>
                <w:sz w:val="24"/>
                <w:szCs w:val="24"/>
              </w:rPr>
              <w:t>最大服务次数</w:t>
            </w:r>
          </w:p>
        </w:tc>
        <w:tc>
          <w:tcPr>
            <w:tcW w:w="730" w:type="pct"/>
            <w:shd w:val="clear" w:color="auto" w:fill="DCE6F2" w:themeFill="accent1" w:themeFillTint="32"/>
            <w:noWrap/>
            <w:vAlign w:val="center"/>
          </w:tcPr>
          <w:p>
            <w:pPr>
              <w:jc w:val="center"/>
              <w:rPr>
                <w:rFonts w:ascii="宋体" w:hAnsi="宋体"/>
                <w:b/>
                <w:sz w:val="24"/>
                <w:szCs w:val="24"/>
              </w:rPr>
            </w:pPr>
            <w:r>
              <w:rPr>
                <w:rFonts w:hint="eastAsia" w:ascii="宋体" w:hAnsi="宋体"/>
                <w:b/>
                <w:sz w:val="24"/>
                <w:szCs w:val="24"/>
              </w:rPr>
              <w:t>单价（元）</w:t>
            </w:r>
          </w:p>
        </w:tc>
        <w:tc>
          <w:tcPr>
            <w:tcW w:w="732" w:type="pct"/>
            <w:shd w:val="clear" w:color="auto" w:fill="DCE6F2" w:themeFill="accent1" w:themeFillTint="32"/>
            <w:noWrap/>
            <w:vAlign w:val="center"/>
          </w:tcPr>
          <w:p>
            <w:pPr>
              <w:ind w:left="-92" w:leftChars="-44"/>
              <w:jc w:val="center"/>
              <w:rPr>
                <w:rFonts w:ascii="宋体" w:hAnsi="宋体"/>
                <w:b/>
                <w:sz w:val="24"/>
                <w:szCs w:val="24"/>
              </w:rPr>
            </w:pPr>
            <w:r>
              <w:rPr>
                <w:rFonts w:hint="eastAsia" w:ascii="宋体" w:hAnsi="宋体"/>
                <w:b/>
                <w:sz w:val="24"/>
                <w:szCs w:val="24"/>
              </w:rPr>
              <w:t>合计（元）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62" w:type="pct"/>
            <w:noWrap/>
            <w:vAlign w:val="center"/>
          </w:tcPr>
          <w:p>
            <w:pPr>
              <w:jc w:val="center"/>
              <w:rPr>
                <w:rFonts w:ascii="宋体" w:hAnsi="宋体" w:eastAsia="宋体"/>
                <w:sz w:val="24"/>
                <w:szCs w:val="24"/>
              </w:rPr>
            </w:pPr>
            <w:r>
              <w:rPr>
                <w:rFonts w:hint="eastAsia" w:ascii="宋体" w:hAnsi="宋体"/>
                <w:sz w:val="24"/>
                <w:szCs w:val="24"/>
              </w:rPr>
              <w:t>1</w:t>
            </w:r>
          </w:p>
        </w:tc>
        <w:tc>
          <w:tcPr>
            <w:tcW w:w="1954" w:type="pct"/>
            <w:noWrap/>
            <w:vAlign w:val="center"/>
          </w:tcPr>
          <w:p>
            <w:pPr>
              <w:jc w:val="center"/>
              <w:rPr>
                <w:rFonts w:ascii="宋体" w:hAnsi="宋体" w:eastAsia="宋体"/>
                <w:sz w:val="24"/>
                <w:szCs w:val="24"/>
              </w:rPr>
            </w:pPr>
          </w:p>
        </w:tc>
        <w:tc>
          <w:tcPr>
            <w:tcW w:w="544" w:type="pct"/>
            <w:noWrap/>
            <w:vAlign w:val="center"/>
          </w:tcPr>
          <w:p>
            <w:pPr>
              <w:jc w:val="center"/>
              <w:rPr>
                <w:rFonts w:ascii="宋体" w:hAnsi="宋体" w:cs="宋体"/>
                <w:kern w:val="0"/>
                <w:sz w:val="24"/>
                <w:szCs w:val="24"/>
              </w:rPr>
            </w:pPr>
          </w:p>
        </w:tc>
        <w:tc>
          <w:tcPr>
            <w:tcW w:w="576" w:type="pct"/>
            <w:noWrap/>
            <w:vAlign w:val="center"/>
          </w:tcPr>
          <w:p>
            <w:pPr>
              <w:jc w:val="center"/>
              <w:rPr>
                <w:rFonts w:ascii="宋体" w:hAnsi="宋体" w:cs="宋体"/>
                <w:kern w:val="0"/>
                <w:sz w:val="24"/>
                <w:szCs w:val="24"/>
              </w:rPr>
            </w:pPr>
          </w:p>
        </w:tc>
        <w:tc>
          <w:tcPr>
            <w:tcW w:w="730" w:type="pct"/>
            <w:noWrap/>
            <w:vAlign w:val="center"/>
          </w:tcPr>
          <w:p>
            <w:pPr>
              <w:jc w:val="center"/>
              <w:rPr>
                <w:rFonts w:ascii="宋体" w:hAnsi="宋体"/>
                <w:sz w:val="24"/>
                <w:szCs w:val="24"/>
              </w:rPr>
            </w:pPr>
          </w:p>
        </w:tc>
        <w:tc>
          <w:tcPr>
            <w:tcW w:w="732" w:type="pct"/>
            <w:noWrap/>
            <w:vAlign w:val="center"/>
          </w:tcPr>
          <w:p>
            <w:pPr>
              <w:ind w:left="-92" w:leftChars="-44"/>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62" w:type="pct"/>
            <w:noWrap/>
            <w:vAlign w:val="center"/>
          </w:tcPr>
          <w:p>
            <w:pPr>
              <w:jc w:val="center"/>
              <w:rPr>
                <w:rFonts w:ascii="宋体" w:hAnsi="宋体" w:eastAsia="宋体"/>
                <w:sz w:val="24"/>
                <w:szCs w:val="24"/>
              </w:rPr>
            </w:pPr>
            <w:r>
              <w:rPr>
                <w:rFonts w:hint="eastAsia" w:ascii="宋体" w:hAnsi="宋体"/>
                <w:sz w:val="24"/>
                <w:szCs w:val="24"/>
              </w:rPr>
              <w:t>2</w:t>
            </w:r>
          </w:p>
        </w:tc>
        <w:tc>
          <w:tcPr>
            <w:tcW w:w="1954" w:type="pct"/>
            <w:noWrap/>
            <w:vAlign w:val="center"/>
          </w:tcPr>
          <w:p>
            <w:pPr>
              <w:jc w:val="center"/>
              <w:rPr>
                <w:rFonts w:ascii="宋体" w:hAnsi="宋体" w:eastAsia="宋体"/>
                <w:sz w:val="24"/>
                <w:szCs w:val="24"/>
              </w:rPr>
            </w:pPr>
          </w:p>
        </w:tc>
        <w:tc>
          <w:tcPr>
            <w:tcW w:w="544" w:type="pct"/>
            <w:noWrap/>
            <w:vAlign w:val="center"/>
          </w:tcPr>
          <w:p>
            <w:pPr>
              <w:jc w:val="center"/>
              <w:rPr>
                <w:rFonts w:ascii="宋体" w:hAnsi="宋体" w:cs="宋体"/>
                <w:kern w:val="0"/>
                <w:sz w:val="24"/>
                <w:szCs w:val="24"/>
              </w:rPr>
            </w:pPr>
          </w:p>
        </w:tc>
        <w:tc>
          <w:tcPr>
            <w:tcW w:w="576" w:type="pct"/>
            <w:noWrap/>
            <w:vAlign w:val="center"/>
          </w:tcPr>
          <w:p>
            <w:pPr>
              <w:jc w:val="center"/>
              <w:rPr>
                <w:rFonts w:ascii="宋体" w:hAnsi="宋体"/>
                <w:sz w:val="24"/>
                <w:szCs w:val="24"/>
              </w:rPr>
            </w:pPr>
          </w:p>
        </w:tc>
        <w:tc>
          <w:tcPr>
            <w:tcW w:w="730" w:type="pct"/>
            <w:noWrap/>
            <w:vAlign w:val="center"/>
          </w:tcPr>
          <w:p>
            <w:pPr>
              <w:jc w:val="center"/>
              <w:rPr>
                <w:rFonts w:ascii="宋体" w:hAnsi="宋体"/>
                <w:sz w:val="24"/>
                <w:szCs w:val="24"/>
              </w:rPr>
            </w:pPr>
          </w:p>
        </w:tc>
        <w:tc>
          <w:tcPr>
            <w:tcW w:w="732" w:type="pct"/>
            <w:noWrap/>
            <w:vAlign w:val="center"/>
          </w:tcPr>
          <w:p>
            <w:pPr>
              <w:ind w:left="-92" w:leftChars="-44"/>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62" w:type="pct"/>
            <w:noWrap/>
            <w:vAlign w:val="center"/>
          </w:tcPr>
          <w:p>
            <w:pPr>
              <w:jc w:val="center"/>
              <w:rPr>
                <w:rFonts w:ascii="宋体" w:hAnsi="宋体" w:eastAsia="宋体"/>
                <w:sz w:val="24"/>
                <w:szCs w:val="24"/>
              </w:rPr>
            </w:pPr>
            <w:r>
              <w:rPr>
                <w:rFonts w:hint="eastAsia" w:ascii="宋体" w:hAnsi="宋体"/>
                <w:sz w:val="24"/>
                <w:szCs w:val="24"/>
              </w:rPr>
              <w:t>3</w:t>
            </w:r>
          </w:p>
        </w:tc>
        <w:tc>
          <w:tcPr>
            <w:tcW w:w="1954" w:type="pct"/>
            <w:noWrap/>
            <w:vAlign w:val="center"/>
          </w:tcPr>
          <w:p>
            <w:pPr>
              <w:jc w:val="center"/>
              <w:rPr>
                <w:rFonts w:ascii="宋体" w:hAnsi="宋体" w:eastAsia="宋体"/>
                <w:sz w:val="24"/>
                <w:szCs w:val="24"/>
              </w:rPr>
            </w:pPr>
          </w:p>
        </w:tc>
        <w:tc>
          <w:tcPr>
            <w:tcW w:w="544" w:type="pct"/>
            <w:noWrap/>
            <w:vAlign w:val="center"/>
          </w:tcPr>
          <w:p>
            <w:pPr>
              <w:jc w:val="center"/>
              <w:rPr>
                <w:rFonts w:ascii="宋体" w:hAnsi="宋体" w:cs="宋体"/>
                <w:kern w:val="0"/>
                <w:sz w:val="24"/>
                <w:szCs w:val="24"/>
              </w:rPr>
            </w:pPr>
          </w:p>
        </w:tc>
        <w:tc>
          <w:tcPr>
            <w:tcW w:w="576" w:type="pct"/>
            <w:noWrap/>
            <w:vAlign w:val="center"/>
          </w:tcPr>
          <w:p>
            <w:pPr>
              <w:jc w:val="center"/>
              <w:rPr>
                <w:rFonts w:ascii="宋体" w:hAnsi="宋体" w:eastAsia="宋体"/>
                <w:sz w:val="24"/>
                <w:szCs w:val="24"/>
              </w:rPr>
            </w:pPr>
          </w:p>
        </w:tc>
        <w:tc>
          <w:tcPr>
            <w:tcW w:w="730" w:type="pct"/>
            <w:noWrap/>
            <w:vAlign w:val="center"/>
          </w:tcPr>
          <w:p>
            <w:pPr>
              <w:jc w:val="center"/>
              <w:rPr>
                <w:rFonts w:ascii="宋体" w:hAnsi="宋体"/>
                <w:sz w:val="24"/>
                <w:szCs w:val="24"/>
              </w:rPr>
            </w:pPr>
          </w:p>
        </w:tc>
        <w:tc>
          <w:tcPr>
            <w:tcW w:w="732" w:type="pct"/>
            <w:noWrap/>
            <w:vAlign w:val="center"/>
          </w:tcPr>
          <w:p>
            <w:pPr>
              <w:ind w:left="-92" w:leftChars="-44"/>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62" w:type="pct"/>
            <w:noWrap/>
            <w:vAlign w:val="center"/>
          </w:tcPr>
          <w:p>
            <w:pPr>
              <w:jc w:val="center"/>
              <w:rPr>
                <w:rFonts w:ascii="宋体" w:hAnsi="宋体" w:eastAsia="宋体"/>
                <w:sz w:val="24"/>
                <w:szCs w:val="24"/>
              </w:rPr>
            </w:pPr>
            <w:r>
              <w:rPr>
                <w:rFonts w:hint="eastAsia" w:ascii="宋体" w:hAnsi="宋体"/>
                <w:sz w:val="24"/>
                <w:szCs w:val="24"/>
              </w:rPr>
              <w:t>4</w:t>
            </w:r>
          </w:p>
        </w:tc>
        <w:tc>
          <w:tcPr>
            <w:tcW w:w="1954" w:type="pct"/>
            <w:noWrap/>
            <w:vAlign w:val="center"/>
          </w:tcPr>
          <w:p>
            <w:pPr>
              <w:jc w:val="center"/>
              <w:rPr>
                <w:rFonts w:ascii="宋体" w:hAnsi="宋体" w:eastAsia="宋体"/>
                <w:sz w:val="24"/>
                <w:szCs w:val="24"/>
              </w:rPr>
            </w:pPr>
          </w:p>
        </w:tc>
        <w:tc>
          <w:tcPr>
            <w:tcW w:w="544" w:type="pct"/>
            <w:noWrap/>
            <w:vAlign w:val="center"/>
          </w:tcPr>
          <w:p>
            <w:pPr>
              <w:jc w:val="center"/>
              <w:rPr>
                <w:rFonts w:ascii="宋体" w:hAnsi="宋体" w:cs="宋体"/>
                <w:kern w:val="0"/>
                <w:sz w:val="24"/>
                <w:szCs w:val="24"/>
              </w:rPr>
            </w:pPr>
          </w:p>
        </w:tc>
        <w:tc>
          <w:tcPr>
            <w:tcW w:w="576" w:type="pct"/>
            <w:noWrap/>
            <w:vAlign w:val="center"/>
          </w:tcPr>
          <w:p>
            <w:pPr>
              <w:jc w:val="center"/>
              <w:rPr>
                <w:rFonts w:ascii="宋体" w:hAnsi="宋体" w:eastAsia="宋体"/>
                <w:sz w:val="24"/>
                <w:szCs w:val="24"/>
              </w:rPr>
            </w:pPr>
          </w:p>
        </w:tc>
        <w:tc>
          <w:tcPr>
            <w:tcW w:w="730" w:type="pct"/>
            <w:noWrap/>
            <w:vAlign w:val="center"/>
          </w:tcPr>
          <w:p>
            <w:pPr>
              <w:jc w:val="center"/>
              <w:rPr>
                <w:rFonts w:ascii="宋体" w:hAnsi="宋体"/>
                <w:sz w:val="24"/>
                <w:szCs w:val="24"/>
              </w:rPr>
            </w:pPr>
          </w:p>
        </w:tc>
        <w:tc>
          <w:tcPr>
            <w:tcW w:w="732" w:type="pct"/>
            <w:noWrap/>
            <w:vAlign w:val="center"/>
          </w:tcPr>
          <w:p>
            <w:pPr>
              <w:ind w:left="-92" w:leftChars="-44"/>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83" w:hRule="atLeast"/>
          <w:jc w:val="center"/>
        </w:trPr>
        <w:tc>
          <w:tcPr>
            <w:tcW w:w="462" w:type="pct"/>
            <w:noWrap/>
            <w:vAlign w:val="center"/>
          </w:tcPr>
          <w:p>
            <w:pPr>
              <w:jc w:val="center"/>
              <w:rPr>
                <w:rFonts w:ascii="宋体" w:hAnsi="宋体"/>
                <w:sz w:val="24"/>
                <w:szCs w:val="24"/>
              </w:rPr>
            </w:pPr>
            <w:r>
              <w:rPr>
                <w:rFonts w:hint="eastAsia" w:ascii="宋体" w:hAnsi="宋体"/>
                <w:sz w:val="24"/>
                <w:szCs w:val="24"/>
              </w:rPr>
              <w:t>5</w:t>
            </w:r>
          </w:p>
        </w:tc>
        <w:tc>
          <w:tcPr>
            <w:tcW w:w="1954" w:type="pct"/>
            <w:noWrap/>
            <w:vAlign w:val="center"/>
          </w:tcPr>
          <w:p>
            <w:pPr>
              <w:jc w:val="center"/>
              <w:rPr>
                <w:rFonts w:ascii="宋体" w:hAnsi="宋体" w:eastAsia="宋体"/>
                <w:sz w:val="24"/>
                <w:szCs w:val="24"/>
              </w:rPr>
            </w:pPr>
          </w:p>
        </w:tc>
        <w:tc>
          <w:tcPr>
            <w:tcW w:w="544" w:type="pct"/>
            <w:noWrap/>
            <w:vAlign w:val="center"/>
          </w:tcPr>
          <w:p>
            <w:pPr>
              <w:jc w:val="center"/>
              <w:rPr>
                <w:rFonts w:ascii="宋体" w:hAnsi="宋体" w:eastAsia="宋体"/>
                <w:sz w:val="24"/>
                <w:szCs w:val="24"/>
              </w:rPr>
            </w:pPr>
          </w:p>
        </w:tc>
        <w:tc>
          <w:tcPr>
            <w:tcW w:w="576" w:type="pct"/>
            <w:noWrap/>
            <w:vAlign w:val="center"/>
          </w:tcPr>
          <w:p>
            <w:pPr>
              <w:jc w:val="center"/>
              <w:rPr>
                <w:rFonts w:ascii="宋体" w:hAnsi="宋体"/>
                <w:sz w:val="24"/>
                <w:szCs w:val="24"/>
              </w:rPr>
            </w:pPr>
          </w:p>
        </w:tc>
        <w:tc>
          <w:tcPr>
            <w:tcW w:w="730" w:type="pct"/>
            <w:noWrap/>
            <w:vAlign w:val="center"/>
          </w:tcPr>
          <w:p>
            <w:pPr>
              <w:jc w:val="center"/>
              <w:rPr>
                <w:rFonts w:ascii="宋体" w:hAnsi="宋体"/>
                <w:sz w:val="24"/>
                <w:szCs w:val="24"/>
              </w:rPr>
            </w:pPr>
          </w:p>
        </w:tc>
        <w:tc>
          <w:tcPr>
            <w:tcW w:w="732" w:type="pct"/>
            <w:noWrap/>
            <w:vAlign w:val="center"/>
          </w:tcPr>
          <w:p>
            <w:pPr>
              <w:ind w:left="-92" w:leftChars="-44"/>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62" w:type="pct"/>
            <w:noWrap/>
            <w:vAlign w:val="center"/>
          </w:tcPr>
          <w:p>
            <w:pPr>
              <w:jc w:val="center"/>
              <w:rPr>
                <w:rFonts w:ascii="宋体" w:hAnsi="宋体"/>
                <w:sz w:val="24"/>
                <w:szCs w:val="24"/>
              </w:rPr>
            </w:pPr>
            <w:r>
              <w:rPr>
                <w:rFonts w:hint="eastAsia" w:ascii="宋体" w:hAnsi="宋体"/>
                <w:sz w:val="24"/>
                <w:szCs w:val="24"/>
              </w:rPr>
              <w:t>6</w:t>
            </w:r>
          </w:p>
        </w:tc>
        <w:tc>
          <w:tcPr>
            <w:tcW w:w="1954" w:type="pct"/>
            <w:noWrap/>
            <w:vAlign w:val="center"/>
          </w:tcPr>
          <w:p>
            <w:pPr>
              <w:jc w:val="center"/>
              <w:rPr>
                <w:rFonts w:ascii="宋体" w:hAnsi="宋体" w:eastAsia="宋体"/>
                <w:sz w:val="24"/>
                <w:szCs w:val="24"/>
              </w:rPr>
            </w:pPr>
          </w:p>
        </w:tc>
        <w:tc>
          <w:tcPr>
            <w:tcW w:w="544" w:type="pct"/>
            <w:noWrap/>
            <w:vAlign w:val="center"/>
          </w:tcPr>
          <w:p>
            <w:pPr>
              <w:jc w:val="center"/>
              <w:rPr>
                <w:rFonts w:ascii="宋体" w:hAnsi="宋体" w:eastAsia="宋体"/>
                <w:sz w:val="24"/>
                <w:szCs w:val="24"/>
              </w:rPr>
            </w:pPr>
          </w:p>
        </w:tc>
        <w:tc>
          <w:tcPr>
            <w:tcW w:w="576" w:type="pct"/>
            <w:noWrap/>
            <w:vAlign w:val="center"/>
          </w:tcPr>
          <w:p>
            <w:pPr>
              <w:jc w:val="center"/>
              <w:rPr>
                <w:rFonts w:ascii="宋体" w:hAnsi="宋体"/>
                <w:sz w:val="24"/>
                <w:szCs w:val="24"/>
              </w:rPr>
            </w:pPr>
          </w:p>
        </w:tc>
        <w:tc>
          <w:tcPr>
            <w:tcW w:w="730" w:type="pct"/>
            <w:noWrap/>
            <w:vAlign w:val="center"/>
          </w:tcPr>
          <w:p>
            <w:pPr>
              <w:jc w:val="center"/>
              <w:rPr>
                <w:rFonts w:ascii="宋体" w:hAnsi="宋体"/>
                <w:sz w:val="24"/>
                <w:szCs w:val="24"/>
              </w:rPr>
            </w:pPr>
          </w:p>
        </w:tc>
        <w:tc>
          <w:tcPr>
            <w:tcW w:w="732" w:type="pct"/>
            <w:noWrap/>
            <w:vAlign w:val="center"/>
          </w:tcPr>
          <w:p>
            <w:pPr>
              <w:ind w:left="-92" w:leftChars="-44"/>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62" w:type="pct"/>
            <w:noWrap/>
            <w:vAlign w:val="center"/>
          </w:tcPr>
          <w:p>
            <w:pPr>
              <w:jc w:val="center"/>
              <w:rPr>
                <w:rFonts w:ascii="宋体" w:hAnsi="宋体"/>
                <w:sz w:val="24"/>
                <w:szCs w:val="24"/>
              </w:rPr>
            </w:pPr>
            <w:r>
              <w:rPr>
                <w:rFonts w:hint="eastAsia" w:ascii="宋体" w:hAnsi="宋体"/>
                <w:sz w:val="24"/>
                <w:szCs w:val="24"/>
              </w:rPr>
              <w:t>7</w:t>
            </w:r>
          </w:p>
        </w:tc>
        <w:tc>
          <w:tcPr>
            <w:tcW w:w="1954" w:type="pct"/>
            <w:noWrap/>
            <w:vAlign w:val="center"/>
          </w:tcPr>
          <w:p>
            <w:pPr>
              <w:jc w:val="center"/>
              <w:rPr>
                <w:rFonts w:ascii="宋体" w:hAnsi="宋体" w:eastAsia="宋体"/>
                <w:sz w:val="24"/>
                <w:szCs w:val="24"/>
              </w:rPr>
            </w:pPr>
          </w:p>
        </w:tc>
        <w:tc>
          <w:tcPr>
            <w:tcW w:w="544" w:type="pct"/>
            <w:noWrap/>
            <w:vAlign w:val="center"/>
          </w:tcPr>
          <w:p>
            <w:pPr>
              <w:jc w:val="center"/>
              <w:rPr>
                <w:rFonts w:ascii="宋体" w:hAnsi="宋体" w:eastAsia="宋体"/>
                <w:sz w:val="24"/>
                <w:szCs w:val="24"/>
              </w:rPr>
            </w:pPr>
          </w:p>
        </w:tc>
        <w:tc>
          <w:tcPr>
            <w:tcW w:w="576" w:type="pct"/>
            <w:noWrap/>
            <w:vAlign w:val="center"/>
          </w:tcPr>
          <w:p>
            <w:pPr>
              <w:jc w:val="center"/>
              <w:rPr>
                <w:rFonts w:ascii="宋体" w:hAnsi="宋体"/>
                <w:sz w:val="24"/>
                <w:szCs w:val="24"/>
              </w:rPr>
            </w:pPr>
          </w:p>
        </w:tc>
        <w:tc>
          <w:tcPr>
            <w:tcW w:w="730" w:type="pct"/>
            <w:noWrap/>
            <w:vAlign w:val="center"/>
          </w:tcPr>
          <w:p>
            <w:pPr>
              <w:jc w:val="center"/>
              <w:rPr>
                <w:rFonts w:ascii="宋体" w:hAnsi="宋体"/>
                <w:sz w:val="24"/>
                <w:szCs w:val="24"/>
              </w:rPr>
            </w:pPr>
          </w:p>
        </w:tc>
        <w:tc>
          <w:tcPr>
            <w:tcW w:w="732" w:type="pct"/>
            <w:noWrap/>
            <w:vAlign w:val="center"/>
          </w:tcPr>
          <w:p>
            <w:pPr>
              <w:ind w:left="-92" w:leftChars="-44"/>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62" w:type="pct"/>
            <w:noWrap/>
            <w:vAlign w:val="center"/>
          </w:tcPr>
          <w:p>
            <w:pPr>
              <w:ind w:left="-92" w:leftChars="-44"/>
              <w:jc w:val="center"/>
              <w:rPr>
                <w:rFonts w:ascii="宋体" w:hAnsi="宋体" w:eastAsia="宋体"/>
                <w:sz w:val="24"/>
                <w:szCs w:val="24"/>
              </w:rPr>
            </w:pPr>
            <w:r>
              <w:rPr>
                <w:rFonts w:hint="eastAsia" w:ascii="宋体" w:hAnsi="宋体" w:eastAsia="宋体"/>
                <w:sz w:val="24"/>
                <w:szCs w:val="24"/>
              </w:rPr>
              <w:t>投标报价（元）</w:t>
            </w:r>
          </w:p>
        </w:tc>
        <w:tc>
          <w:tcPr>
            <w:tcW w:w="4537" w:type="pct"/>
            <w:gridSpan w:val="5"/>
            <w:noWrap/>
            <w:vAlign w:val="center"/>
          </w:tcPr>
          <w:p>
            <w:pPr>
              <w:ind w:left="-92" w:leftChars="-44"/>
              <w:jc w:val="left"/>
              <w:rPr>
                <w:rFonts w:ascii="宋体" w:hAnsi="宋体" w:eastAsia="宋体"/>
                <w:sz w:val="24"/>
                <w:szCs w:val="24"/>
              </w:rPr>
            </w:pPr>
            <w:r>
              <w:rPr>
                <w:rFonts w:hint="eastAsia" w:ascii="宋体" w:hAnsi="宋体" w:eastAsia="宋体"/>
                <w:sz w:val="24"/>
                <w:szCs w:val="24"/>
              </w:rPr>
              <w:t>小写：</w:t>
            </w:r>
          </w:p>
          <w:p>
            <w:pPr>
              <w:ind w:left="-92" w:leftChars="-44"/>
              <w:jc w:val="left"/>
              <w:rPr>
                <w:rFonts w:ascii="宋体" w:hAnsi="宋体" w:eastAsia="宋体"/>
                <w:sz w:val="24"/>
                <w:szCs w:val="24"/>
              </w:rPr>
            </w:pPr>
            <w:r>
              <w:rPr>
                <w:rFonts w:hint="eastAsia" w:ascii="宋体" w:hAnsi="宋体" w:eastAsia="宋体"/>
                <w:sz w:val="24"/>
                <w:szCs w:val="24"/>
              </w:rPr>
              <w:t>大写：</w:t>
            </w:r>
          </w:p>
        </w:tc>
      </w:tr>
    </w:tbl>
    <w:p/>
    <w:p>
      <w:pPr>
        <w:pStyle w:val="39"/>
        <w:spacing w:line="360" w:lineRule="auto"/>
        <w:ind w:firstLine="547" w:firstLineChars="228"/>
        <w:jc w:val="left"/>
        <w:rPr>
          <w:rFonts w:ascii="宋体" w:hAnsi="宋体"/>
          <w:kern w:val="0"/>
          <w:sz w:val="24"/>
          <w:szCs w:val="20"/>
        </w:rPr>
      </w:pPr>
      <w:r>
        <w:rPr>
          <w:rFonts w:hint="eastAsia" w:ascii="宋体" w:hAnsi="宋体"/>
          <w:kern w:val="0"/>
          <w:sz w:val="24"/>
          <w:szCs w:val="20"/>
        </w:rPr>
        <w:t>说明：</w:t>
      </w:r>
    </w:p>
    <w:p>
      <w:pPr>
        <w:pStyle w:val="39"/>
        <w:spacing w:line="360" w:lineRule="auto"/>
        <w:ind w:firstLine="547" w:firstLineChars="228"/>
        <w:jc w:val="left"/>
        <w:rPr>
          <w:rFonts w:ascii="宋体" w:hAnsi="宋体"/>
          <w:kern w:val="0"/>
          <w:sz w:val="24"/>
          <w:szCs w:val="20"/>
        </w:rPr>
      </w:pPr>
      <w:r>
        <w:rPr>
          <w:rFonts w:hint="eastAsia" w:ascii="宋体" w:hAnsi="宋体"/>
          <w:kern w:val="0"/>
          <w:sz w:val="24"/>
          <w:szCs w:val="20"/>
        </w:rPr>
        <w:t>1.此表为《开标一览表》的报价明细表，分项报价表</w:t>
      </w:r>
      <w:r>
        <w:rPr>
          <w:rFonts w:hint="eastAsia" w:ascii="宋体" w:hAnsi="宋体"/>
          <w:kern w:val="0"/>
          <w:sz w:val="24"/>
          <w:szCs w:val="20"/>
          <w:lang w:val="zh-CN"/>
        </w:rPr>
        <w:t>最终报价</w:t>
      </w:r>
      <w:r>
        <w:rPr>
          <w:rFonts w:hint="eastAsia" w:ascii="宋体" w:hAnsi="宋体"/>
          <w:kern w:val="0"/>
          <w:sz w:val="24"/>
          <w:szCs w:val="20"/>
        </w:rPr>
        <w:t>须与开标一览表一致。</w:t>
      </w:r>
    </w:p>
    <w:p>
      <w:pPr>
        <w:pStyle w:val="39"/>
        <w:spacing w:line="360" w:lineRule="auto"/>
        <w:ind w:firstLine="547" w:firstLineChars="228"/>
        <w:jc w:val="left"/>
        <w:rPr>
          <w:rFonts w:ascii="宋体" w:hAnsi="宋体"/>
          <w:kern w:val="0"/>
          <w:sz w:val="24"/>
          <w:szCs w:val="20"/>
        </w:rPr>
      </w:pPr>
      <w:r>
        <w:rPr>
          <w:rFonts w:hint="eastAsia" w:ascii="宋体" w:hAnsi="宋体"/>
          <w:kern w:val="0"/>
          <w:sz w:val="24"/>
          <w:szCs w:val="20"/>
        </w:rPr>
        <w:t>2.项目报价应包括但不限于：</w:t>
      </w:r>
      <w:r>
        <w:rPr>
          <w:sz w:val="24"/>
        </w:rPr>
        <w:t>本项目服务费采用包干制，</w:t>
      </w:r>
      <w:r>
        <w:rPr>
          <w:rFonts w:hint="eastAsia"/>
          <w:sz w:val="24"/>
        </w:rPr>
        <w:t>本项目服务费采用包干制，包括但不限于项目服务成本、法定税费和企业利润等一切费用。</w:t>
      </w:r>
      <w:r>
        <w:rPr>
          <w:rFonts w:hint="eastAsia" w:ascii="宋体" w:hAnsi="宋体"/>
          <w:kern w:val="0"/>
          <w:sz w:val="24"/>
          <w:szCs w:val="20"/>
        </w:rPr>
        <w:t>所有价格均以人民币作为货币单位填写及计算。</w:t>
      </w:r>
    </w:p>
    <w:p>
      <w:pPr>
        <w:pStyle w:val="39"/>
        <w:spacing w:line="360" w:lineRule="auto"/>
        <w:ind w:firstLine="547" w:firstLineChars="228"/>
        <w:jc w:val="left"/>
        <w:rPr>
          <w:rFonts w:ascii="宋体" w:hAnsi="宋体"/>
          <w:kern w:val="0"/>
          <w:sz w:val="24"/>
          <w:szCs w:val="20"/>
        </w:rPr>
      </w:pPr>
      <w:r>
        <w:rPr>
          <w:rFonts w:hint="eastAsia" w:ascii="宋体" w:hAnsi="宋体"/>
          <w:kern w:val="0"/>
          <w:sz w:val="24"/>
          <w:szCs w:val="20"/>
        </w:rPr>
        <w:t>3.投标报价超过采购人预算的，该投标报价视为无效报价，将做投标无效处理。</w:t>
      </w:r>
    </w:p>
    <w:p>
      <w:pPr>
        <w:snapToGrid w:val="0"/>
        <w:spacing w:line="360" w:lineRule="auto"/>
        <w:ind w:firstLine="5640" w:firstLineChars="2350"/>
        <w:rPr>
          <w:rFonts w:ascii="宋体" w:hAnsi="宋体" w:eastAsia="宋体"/>
          <w:sz w:val="24"/>
          <w:szCs w:val="21"/>
        </w:rPr>
      </w:pPr>
    </w:p>
    <w:p>
      <w:pPr>
        <w:snapToGrid w:val="0"/>
        <w:spacing w:line="360" w:lineRule="auto"/>
        <w:ind w:firstLine="5640" w:firstLineChars="2350"/>
        <w:rPr>
          <w:rFonts w:ascii="宋体" w:hAnsi="宋体" w:eastAsia="宋体"/>
          <w:sz w:val="24"/>
          <w:szCs w:val="21"/>
        </w:rPr>
      </w:pPr>
      <w:r>
        <w:rPr>
          <w:rFonts w:hint="eastAsia" w:ascii="宋体" w:hAnsi="宋体" w:eastAsia="宋体"/>
          <w:sz w:val="24"/>
          <w:szCs w:val="21"/>
        </w:rPr>
        <w:t xml:space="preserve">供应商（盖章）： </w:t>
      </w:r>
    </w:p>
    <w:p>
      <w:pPr>
        <w:snapToGrid w:val="0"/>
        <w:spacing w:line="360" w:lineRule="auto"/>
        <w:ind w:firstLine="5640" w:firstLineChars="2350"/>
        <w:rPr>
          <w:rFonts w:ascii="宋体" w:hAnsi="宋体" w:eastAsia="宋体" w:cs="Arial"/>
          <w:bCs/>
          <w:sz w:val="24"/>
          <w:szCs w:val="21"/>
        </w:rPr>
      </w:pPr>
      <w:r>
        <w:rPr>
          <w:rFonts w:hint="eastAsia" w:ascii="宋体" w:hAnsi="宋体" w:eastAsia="宋体" w:cs="Arial"/>
          <w:bCs/>
          <w:sz w:val="24"/>
          <w:szCs w:val="21"/>
        </w:rPr>
        <w:t>日  期：     年   月   日</w:t>
      </w:r>
    </w:p>
    <w:p>
      <w:pPr>
        <w:snapToGrid w:val="0"/>
        <w:spacing w:line="360" w:lineRule="auto"/>
        <w:jc w:val="center"/>
        <w:rPr>
          <w:rFonts w:ascii="宋体" w:hAnsi="宋体"/>
          <w:b/>
          <w:sz w:val="30"/>
          <w:szCs w:val="30"/>
        </w:rPr>
      </w:pPr>
      <w:r>
        <w:rPr>
          <w:rFonts w:ascii="宋体" w:hAnsi="宋体"/>
          <w:b/>
          <w:sz w:val="30"/>
          <w:szCs w:val="30"/>
        </w:rPr>
        <w:br w:type="page"/>
      </w:r>
    </w:p>
    <w:p>
      <w:pPr>
        <w:pStyle w:val="5"/>
        <w:rPr>
          <w:rStyle w:val="37"/>
          <w:b/>
          <w:bCs/>
        </w:rPr>
      </w:pPr>
      <w:bookmarkStart w:id="118" w:name="_Toc2908"/>
      <w:bookmarkStart w:id="119" w:name="_Toc26396"/>
      <w:bookmarkStart w:id="120" w:name="_Toc19971"/>
      <w:r>
        <w:rPr>
          <w:rStyle w:val="37"/>
          <w:rFonts w:hint="eastAsia"/>
          <w:b/>
          <w:bCs/>
        </w:rPr>
        <w:t>八、其他响应资料</w:t>
      </w:r>
      <w:bookmarkEnd w:id="118"/>
      <w:bookmarkEnd w:id="119"/>
      <w:bookmarkEnd w:id="120"/>
    </w:p>
    <w:p>
      <w:pPr>
        <w:pStyle w:val="39"/>
        <w:spacing w:line="360" w:lineRule="auto"/>
        <w:ind w:firstLine="547" w:firstLineChars="228"/>
        <w:jc w:val="left"/>
        <w:rPr>
          <w:rFonts w:ascii="宋体" w:hAnsi="宋体"/>
          <w:kern w:val="0"/>
          <w:sz w:val="24"/>
          <w:szCs w:val="20"/>
        </w:rPr>
      </w:pPr>
    </w:p>
    <w:p>
      <w:pPr>
        <w:pStyle w:val="39"/>
        <w:spacing w:line="360" w:lineRule="auto"/>
        <w:ind w:firstLine="547" w:firstLineChars="228"/>
        <w:jc w:val="left"/>
        <w:rPr>
          <w:rFonts w:ascii="宋体" w:hAnsi="宋体"/>
          <w:kern w:val="0"/>
          <w:sz w:val="24"/>
          <w:szCs w:val="20"/>
        </w:rPr>
      </w:pPr>
      <w:r>
        <w:rPr>
          <w:rFonts w:hint="eastAsia" w:ascii="宋体" w:hAnsi="宋体"/>
          <w:kern w:val="0"/>
          <w:sz w:val="24"/>
          <w:szCs w:val="20"/>
        </w:rPr>
        <w:t>1、营业执照扫描件加盖投标人公章。</w:t>
      </w:r>
    </w:p>
    <w:p>
      <w:pPr>
        <w:pStyle w:val="39"/>
        <w:spacing w:line="360" w:lineRule="auto"/>
        <w:ind w:firstLine="547" w:firstLineChars="228"/>
        <w:jc w:val="left"/>
        <w:rPr>
          <w:rFonts w:ascii="宋体" w:hAnsi="宋体"/>
          <w:kern w:val="0"/>
          <w:sz w:val="24"/>
          <w:szCs w:val="20"/>
        </w:rPr>
      </w:pPr>
      <w:r>
        <w:rPr>
          <w:rFonts w:hint="eastAsia" w:ascii="宋体" w:hAnsi="宋体" w:cs="宋体"/>
          <w:kern w:val="0"/>
          <w:sz w:val="24"/>
          <w:szCs w:val="21"/>
        </w:rPr>
        <w:t>2、</w:t>
      </w:r>
      <w:r>
        <w:rPr>
          <w:rFonts w:hint="eastAsia" w:ascii="宋体" w:hAnsi="宋体" w:cs="宋体"/>
          <w:sz w:val="24"/>
        </w:rPr>
        <w:t>本项目不接受联合体投标，不允许转包分包的承诺函</w:t>
      </w:r>
      <w:r>
        <w:rPr>
          <w:rFonts w:hint="eastAsia" w:ascii="宋体" w:hAnsi="宋体" w:cs="宋体"/>
          <w:b/>
          <w:bCs/>
          <w:kern w:val="0"/>
          <w:sz w:val="24"/>
          <w:szCs w:val="21"/>
        </w:rPr>
        <w:t>（格式自拟）</w:t>
      </w:r>
      <w:r>
        <w:rPr>
          <w:rFonts w:hint="eastAsia" w:ascii="宋体" w:hAnsi="宋体" w:cs="宋体"/>
          <w:sz w:val="24"/>
        </w:rPr>
        <w:t>。</w:t>
      </w:r>
    </w:p>
    <w:p>
      <w:pPr>
        <w:pStyle w:val="39"/>
        <w:spacing w:line="360" w:lineRule="auto"/>
        <w:ind w:firstLine="547" w:firstLineChars="228"/>
        <w:jc w:val="left"/>
        <w:rPr>
          <w:rFonts w:ascii="宋体" w:hAnsi="宋体" w:cs="宋体"/>
          <w:kern w:val="0"/>
          <w:sz w:val="24"/>
          <w:szCs w:val="21"/>
        </w:rPr>
      </w:pPr>
      <w:r>
        <w:rPr>
          <w:rFonts w:hint="eastAsia" w:ascii="宋体" w:hAnsi="宋体" w:cs="宋体"/>
          <w:kern w:val="0"/>
          <w:sz w:val="24"/>
          <w:szCs w:val="21"/>
        </w:rPr>
        <w:t>3、投标人认为需要提交的其他资料</w:t>
      </w:r>
      <w:r>
        <w:rPr>
          <w:rFonts w:hint="eastAsia" w:ascii="宋体" w:hAnsi="宋体" w:cs="宋体"/>
          <w:b/>
          <w:bCs/>
          <w:kern w:val="0"/>
          <w:sz w:val="24"/>
          <w:szCs w:val="21"/>
        </w:rPr>
        <w:t>（格式自拟）</w:t>
      </w:r>
      <w:r>
        <w:rPr>
          <w:rFonts w:hint="eastAsia" w:ascii="宋体" w:hAnsi="宋体" w:cs="宋体"/>
          <w:kern w:val="0"/>
          <w:sz w:val="24"/>
          <w:szCs w:val="21"/>
        </w:rPr>
        <w:t>。</w:t>
      </w:r>
    </w:p>
    <w:p/>
    <w:p/>
    <w:p/>
    <w:sectPr>
      <w:pgSz w:w="11906" w:h="16838"/>
      <w:pgMar w:top="1610" w:right="1610" w:bottom="1610" w:left="161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swiss"/>
    <w:pitch w:val="default"/>
    <w:sig w:usb0="00000000" w:usb1="00000000" w:usb2="0000003F" w:usb3="00000000" w:csb0="003F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Batang">
    <w:altName w:val="Malgun Gothic"/>
    <w:panose1 w:val="02030600000101010101"/>
    <w:charset w:val="81"/>
    <w:family w:val="roman"/>
    <w:pitch w:val="default"/>
    <w:sig w:usb0="00000000" w:usb1="00000000" w:usb2="00000030" w:usb3="00000000" w:csb0="0008009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Malgun Gothic">
    <w:panose1 w:val="020B0503020000020004"/>
    <w:charset w:val="81"/>
    <w:family w:val="auto"/>
    <w:pitch w:val="default"/>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743924"/>
    </w:sdtPr>
    <w:sdtEndPr>
      <w:rPr>
        <w:sz w:val="24"/>
        <w:szCs w:val="24"/>
      </w:rPr>
    </w:sdtEndPr>
    <w:sdtContent>
      <w:sdt>
        <w:sdtPr>
          <w:id w:val="171357217"/>
        </w:sdtPr>
        <w:sdtEndPr>
          <w:rPr>
            <w:sz w:val="24"/>
            <w:szCs w:val="24"/>
          </w:rPr>
        </w:sdtEndPr>
        <w:sdtContent>
          <w:p>
            <w:pPr>
              <w:pStyle w:val="16"/>
              <w:jc w:val="center"/>
              <w:rPr>
                <w:sz w:val="24"/>
                <w:szCs w:val="24"/>
              </w:rPr>
            </w:pPr>
            <w:r>
              <w:rPr>
                <w:b/>
                <w:sz w:val="24"/>
                <w:szCs w:val="24"/>
              </w:rPr>
              <w:fldChar w:fldCharType="begin"/>
            </w:r>
            <w:r>
              <w:rPr>
                <w:b/>
                <w:sz w:val="24"/>
                <w:szCs w:val="24"/>
              </w:rPr>
              <w:instrText xml:space="preserve">PAGE</w:instrText>
            </w:r>
            <w:r>
              <w:rPr>
                <w:b/>
                <w:sz w:val="24"/>
                <w:szCs w:val="24"/>
              </w:rPr>
              <w:fldChar w:fldCharType="separate"/>
            </w:r>
            <w:r>
              <w:rPr>
                <w:b/>
                <w:sz w:val="24"/>
                <w:szCs w:val="24"/>
              </w:rPr>
              <w:t>13</w:t>
            </w:r>
            <w:r>
              <w:rPr>
                <w:b/>
                <w:sz w:val="24"/>
                <w:szCs w:val="24"/>
              </w:rPr>
              <w:fldChar w:fldCharType="end"/>
            </w:r>
            <w:r>
              <w:rPr>
                <w:sz w:val="24"/>
                <w:szCs w:val="24"/>
                <w:lang w:val="zh-CN"/>
              </w:rPr>
              <w:t xml:space="preserve"> / </w:t>
            </w:r>
            <w:r>
              <w:rPr>
                <w:b/>
                <w:sz w:val="24"/>
                <w:szCs w:val="24"/>
              </w:rPr>
              <w:fldChar w:fldCharType="begin"/>
            </w:r>
            <w:r>
              <w:rPr>
                <w:b/>
                <w:sz w:val="24"/>
                <w:szCs w:val="24"/>
              </w:rPr>
              <w:instrText xml:space="preserve">NUMPAGES</w:instrText>
            </w:r>
            <w:r>
              <w:rPr>
                <w:b/>
                <w:sz w:val="24"/>
                <w:szCs w:val="24"/>
              </w:rPr>
              <w:fldChar w:fldCharType="separate"/>
            </w:r>
            <w:r>
              <w:rPr>
                <w:b/>
                <w:sz w:val="24"/>
                <w:szCs w:val="24"/>
              </w:rPr>
              <w:t>42</w:t>
            </w:r>
            <w:r>
              <w:rPr>
                <w:b/>
                <w:sz w:val="24"/>
                <w:szCs w:val="24"/>
              </w:rPr>
              <w:fldChar w:fldCharType="end"/>
            </w:r>
          </w:p>
        </w:sdtContent>
      </w:sdt>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jc w:val="left"/>
    </w:pPr>
    <w:r>
      <w:rPr>
        <w:rFonts w:hint="eastAsia"/>
      </w:rPr>
      <w:t xml:space="preserve">中吉国际项目管理有限公司                                                       </w:t>
    </w:r>
    <w:r>
      <w:drawing>
        <wp:inline distT="0" distB="0" distL="0" distR="0">
          <wp:extent cx="415925" cy="320675"/>
          <wp:effectExtent l="19050" t="0" r="3175" b="0"/>
          <wp:docPr id="1" name="图片 2" descr="说明: C:\Users\Administrator\Desktop\QQ图片20171204161507.pngQQ图片20171204161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说明: C:\Users\Administrator\Desktop\QQ图片20171204161507.pngQQ图片20171204161507"/>
                  <pic:cNvPicPr>
                    <a:picLocks noChangeAspect="1" noChangeArrowheads="1"/>
                  </pic:cNvPicPr>
                </pic:nvPicPr>
                <pic:blipFill>
                  <a:blip r:embed="rId1"/>
                  <a:srcRect/>
                  <a:stretch>
                    <a:fillRect/>
                  </a:stretch>
                </pic:blipFill>
                <pic:spPr>
                  <a:xfrm>
                    <a:off x="0" y="0"/>
                    <a:ext cx="415925" cy="32067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D2AAFC"/>
    <w:multiLevelType w:val="singleLevel"/>
    <w:tmpl w:val="89D2AAFC"/>
    <w:lvl w:ilvl="0" w:tentative="0">
      <w:start w:val="7"/>
      <w:numFmt w:val="chineseCounting"/>
      <w:suff w:val="nothing"/>
      <w:lvlText w:val="%1、"/>
      <w:lvlJc w:val="left"/>
      <w:rPr>
        <w:rFonts w:hint="eastAsia"/>
      </w:rPr>
    </w:lvl>
  </w:abstractNum>
  <w:abstractNum w:abstractNumId="1">
    <w:nsid w:val="D09AC1EF"/>
    <w:multiLevelType w:val="singleLevel"/>
    <w:tmpl w:val="D09AC1EF"/>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trackRevisions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ZTlhMzU3N2ZlOWM3ODNlMzExY2MwOTFkNDZjMjMzYTkifQ=="/>
  </w:docVars>
  <w:rsids>
    <w:rsidRoot w:val="00832BD0"/>
    <w:rsid w:val="00002DEB"/>
    <w:rsid w:val="00006D5E"/>
    <w:rsid w:val="0005127C"/>
    <w:rsid w:val="00051C05"/>
    <w:rsid w:val="0007728B"/>
    <w:rsid w:val="00081CD9"/>
    <w:rsid w:val="00085958"/>
    <w:rsid w:val="000938D0"/>
    <w:rsid w:val="000A606D"/>
    <w:rsid w:val="000B762F"/>
    <w:rsid w:val="000C3661"/>
    <w:rsid w:val="000C66B0"/>
    <w:rsid w:val="000D4014"/>
    <w:rsid w:val="000E1A5D"/>
    <w:rsid w:val="000E6B70"/>
    <w:rsid w:val="000E7217"/>
    <w:rsid w:val="000E7366"/>
    <w:rsid w:val="0012675C"/>
    <w:rsid w:val="0014083C"/>
    <w:rsid w:val="00140E7E"/>
    <w:rsid w:val="0014506A"/>
    <w:rsid w:val="00145AE7"/>
    <w:rsid w:val="00161677"/>
    <w:rsid w:val="00162662"/>
    <w:rsid w:val="00172F74"/>
    <w:rsid w:val="00181E0B"/>
    <w:rsid w:val="00184FF8"/>
    <w:rsid w:val="001908A8"/>
    <w:rsid w:val="00190F96"/>
    <w:rsid w:val="001946E8"/>
    <w:rsid w:val="001A0E01"/>
    <w:rsid w:val="001B1F08"/>
    <w:rsid w:val="001B3189"/>
    <w:rsid w:val="001D4050"/>
    <w:rsid w:val="001D49A2"/>
    <w:rsid w:val="001D6266"/>
    <w:rsid w:val="001E72F4"/>
    <w:rsid w:val="001F23E8"/>
    <w:rsid w:val="0020101D"/>
    <w:rsid w:val="00216D83"/>
    <w:rsid w:val="002339C7"/>
    <w:rsid w:val="00236379"/>
    <w:rsid w:val="00270B93"/>
    <w:rsid w:val="00283089"/>
    <w:rsid w:val="002A07F1"/>
    <w:rsid w:val="002A2CD0"/>
    <w:rsid w:val="002C5AFC"/>
    <w:rsid w:val="002D255F"/>
    <w:rsid w:val="002D2A19"/>
    <w:rsid w:val="002D7484"/>
    <w:rsid w:val="003119AC"/>
    <w:rsid w:val="00321943"/>
    <w:rsid w:val="00335797"/>
    <w:rsid w:val="0034560F"/>
    <w:rsid w:val="0035282D"/>
    <w:rsid w:val="003624D4"/>
    <w:rsid w:val="00370EAA"/>
    <w:rsid w:val="003E0619"/>
    <w:rsid w:val="003E40FD"/>
    <w:rsid w:val="003F2C23"/>
    <w:rsid w:val="003F33FB"/>
    <w:rsid w:val="003F3CD3"/>
    <w:rsid w:val="003F70F2"/>
    <w:rsid w:val="00404D93"/>
    <w:rsid w:val="00425FB0"/>
    <w:rsid w:val="00453A30"/>
    <w:rsid w:val="00475C24"/>
    <w:rsid w:val="00481B15"/>
    <w:rsid w:val="00482621"/>
    <w:rsid w:val="004920F3"/>
    <w:rsid w:val="00494074"/>
    <w:rsid w:val="004A104A"/>
    <w:rsid w:val="004A3B11"/>
    <w:rsid w:val="004A6A3C"/>
    <w:rsid w:val="004A7C43"/>
    <w:rsid w:val="004D4E1C"/>
    <w:rsid w:val="00501BDA"/>
    <w:rsid w:val="00503019"/>
    <w:rsid w:val="005268E5"/>
    <w:rsid w:val="005409C7"/>
    <w:rsid w:val="0054352B"/>
    <w:rsid w:val="00552CF2"/>
    <w:rsid w:val="0058219D"/>
    <w:rsid w:val="0058317D"/>
    <w:rsid w:val="005A0FB6"/>
    <w:rsid w:val="005A49F5"/>
    <w:rsid w:val="005B51FC"/>
    <w:rsid w:val="005C0757"/>
    <w:rsid w:val="005C1185"/>
    <w:rsid w:val="005D2C6C"/>
    <w:rsid w:val="005E1A47"/>
    <w:rsid w:val="005E25D2"/>
    <w:rsid w:val="005F3C8B"/>
    <w:rsid w:val="006073B0"/>
    <w:rsid w:val="00624798"/>
    <w:rsid w:val="006643E7"/>
    <w:rsid w:val="006709FB"/>
    <w:rsid w:val="006815A9"/>
    <w:rsid w:val="00681B5B"/>
    <w:rsid w:val="006A2797"/>
    <w:rsid w:val="006A5C00"/>
    <w:rsid w:val="006D758B"/>
    <w:rsid w:val="006E3C26"/>
    <w:rsid w:val="006F0923"/>
    <w:rsid w:val="006F4C0D"/>
    <w:rsid w:val="006F7687"/>
    <w:rsid w:val="00716084"/>
    <w:rsid w:val="00717659"/>
    <w:rsid w:val="0072039E"/>
    <w:rsid w:val="00721BFB"/>
    <w:rsid w:val="00735336"/>
    <w:rsid w:val="00767AD2"/>
    <w:rsid w:val="00780E50"/>
    <w:rsid w:val="00790EB2"/>
    <w:rsid w:val="007A5991"/>
    <w:rsid w:val="007B2565"/>
    <w:rsid w:val="007B3D3A"/>
    <w:rsid w:val="007D47E5"/>
    <w:rsid w:val="007D4E9B"/>
    <w:rsid w:val="007E3FCA"/>
    <w:rsid w:val="007F4E2C"/>
    <w:rsid w:val="00832BD0"/>
    <w:rsid w:val="00866540"/>
    <w:rsid w:val="00870340"/>
    <w:rsid w:val="0087476A"/>
    <w:rsid w:val="00884B42"/>
    <w:rsid w:val="008869BE"/>
    <w:rsid w:val="008A04E0"/>
    <w:rsid w:val="008B6CCE"/>
    <w:rsid w:val="008D2285"/>
    <w:rsid w:val="008E12E8"/>
    <w:rsid w:val="009111AF"/>
    <w:rsid w:val="00934423"/>
    <w:rsid w:val="009362E6"/>
    <w:rsid w:val="00951372"/>
    <w:rsid w:val="00954148"/>
    <w:rsid w:val="009600DC"/>
    <w:rsid w:val="009611E1"/>
    <w:rsid w:val="00983C82"/>
    <w:rsid w:val="00983F9F"/>
    <w:rsid w:val="0099061B"/>
    <w:rsid w:val="009A16DA"/>
    <w:rsid w:val="009A599F"/>
    <w:rsid w:val="009A6086"/>
    <w:rsid w:val="009B006D"/>
    <w:rsid w:val="009D5BFC"/>
    <w:rsid w:val="009F735F"/>
    <w:rsid w:val="00A0195E"/>
    <w:rsid w:val="00A129EE"/>
    <w:rsid w:val="00A17B58"/>
    <w:rsid w:val="00A33266"/>
    <w:rsid w:val="00A55576"/>
    <w:rsid w:val="00A71027"/>
    <w:rsid w:val="00A77920"/>
    <w:rsid w:val="00A94175"/>
    <w:rsid w:val="00AA25CF"/>
    <w:rsid w:val="00AA5027"/>
    <w:rsid w:val="00AB5D64"/>
    <w:rsid w:val="00AB6EB0"/>
    <w:rsid w:val="00AC176E"/>
    <w:rsid w:val="00AC5834"/>
    <w:rsid w:val="00AD3F0E"/>
    <w:rsid w:val="00AF5AAE"/>
    <w:rsid w:val="00B10574"/>
    <w:rsid w:val="00B12AFF"/>
    <w:rsid w:val="00B313DD"/>
    <w:rsid w:val="00B44E91"/>
    <w:rsid w:val="00B71B32"/>
    <w:rsid w:val="00B7645C"/>
    <w:rsid w:val="00B9020C"/>
    <w:rsid w:val="00BB3B09"/>
    <w:rsid w:val="00BD1C2E"/>
    <w:rsid w:val="00BD3419"/>
    <w:rsid w:val="00BD4ECE"/>
    <w:rsid w:val="00C00595"/>
    <w:rsid w:val="00C02334"/>
    <w:rsid w:val="00C04C41"/>
    <w:rsid w:val="00C05D67"/>
    <w:rsid w:val="00C071B0"/>
    <w:rsid w:val="00C13A44"/>
    <w:rsid w:val="00C4031F"/>
    <w:rsid w:val="00C52547"/>
    <w:rsid w:val="00C7355D"/>
    <w:rsid w:val="00C765F7"/>
    <w:rsid w:val="00C85E90"/>
    <w:rsid w:val="00CA740C"/>
    <w:rsid w:val="00CC0384"/>
    <w:rsid w:val="00CD192E"/>
    <w:rsid w:val="00D02B08"/>
    <w:rsid w:val="00D31E5F"/>
    <w:rsid w:val="00D431C4"/>
    <w:rsid w:val="00D436C2"/>
    <w:rsid w:val="00D4523C"/>
    <w:rsid w:val="00D456FD"/>
    <w:rsid w:val="00D50539"/>
    <w:rsid w:val="00D531C7"/>
    <w:rsid w:val="00D65F87"/>
    <w:rsid w:val="00D7263C"/>
    <w:rsid w:val="00D72CD8"/>
    <w:rsid w:val="00D76C15"/>
    <w:rsid w:val="00D97F4F"/>
    <w:rsid w:val="00DA399D"/>
    <w:rsid w:val="00DA7B51"/>
    <w:rsid w:val="00DB528A"/>
    <w:rsid w:val="00DD4D69"/>
    <w:rsid w:val="00DF081C"/>
    <w:rsid w:val="00E10139"/>
    <w:rsid w:val="00E1344C"/>
    <w:rsid w:val="00E15033"/>
    <w:rsid w:val="00E20E41"/>
    <w:rsid w:val="00E26F18"/>
    <w:rsid w:val="00E33798"/>
    <w:rsid w:val="00E77F0F"/>
    <w:rsid w:val="00E868B5"/>
    <w:rsid w:val="00EA075D"/>
    <w:rsid w:val="00EA52D2"/>
    <w:rsid w:val="00EA6126"/>
    <w:rsid w:val="00EB04DD"/>
    <w:rsid w:val="00EB1FE6"/>
    <w:rsid w:val="00EB36A4"/>
    <w:rsid w:val="00EB6298"/>
    <w:rsid w:val="00EC21D4"/>
    <w:rsid w:val="00EC6F0E"/>
    <w:rsid w:val="00ED3391"/>
    <w:rsid w:val="00ED5015"/>
    <w:rsid w:val="00EE0385"/>
    <w:rsid w:val="00EE0C23"/>
    <w:rsid w:val="00F05CAD"/>
    <w:rsid w:val="00F12FD8"/>
    <w:rsid w:val="00F1517B"/>
    <w:rsid w:val="00F168A6"/>
    <w:rsid w:val="00F30655"/>
    <w:rsid w:val="00F3569A"/>
    <w:rsid w:val="00F36131"/>
    <w:rsid w:val="00F43578"/>
    <w:rsid w:val="00F52881"/>
    <w:rsid w:val="00F5511F"/>
    <w:rsid w:val="00F70170"/>
    <w:rsid w:val="00F726A3"/>
    <w:rsid w:val="00F7538F"/>
    <w:rsid w:val="00F80E4D"/>
    <w:rsid w:val="00F85EF7"/>
    <w:rsid w:val="00F85FCB"/>
    <w:rsid w:val="00F90670"/>
    <w:rsid w:val="00F911E5"/>
    <w:rsid w:val="00F964FA"/>
    <w:rsid w:val="00FA3A55"/>
    <w:rsid w:val="00FD4A8E"/>
    <w:rsid w:val="00FF57B7"/>
    <w:rsid w:val="01230F2A"/>
    <w:rsid w:val="029E063F"/>
    <w:rsid w:val="02C665C5"/>
    <w:rsid w:val="033015AD"/>
    <w:rsid w:val="044D6D83"/>
    <w:rsid w:val="04763EE5"/>
    <w:rsid w:val="050213DD"/>
    <w:rsid w:val="05C32E86"/>
    <w:rsid w:val="061E65E2"/>
    <w:rsid w:val="0690138F"/>
    <w:rsid w:val="084560A8"/>
    <w:rsid w:val="084E6F09"/>
    <w:rsid w:val="08896BA5"/>
    <w:rsid w:val="094E08FF"/>
    <w:rsid w:val="098B240C"/>
    <w:rsid w:val="0A137DAF"/>
    <w:rsid w:val="0A5371A2"/>
    <w:rsid w:val="0B4A5422"/>
    <w:rsid w:val="0BA90C1F"/>
    <w:rsid w:val="0C1D1AFC"/>
    <w:rsid w:val="0C272694"/>
    <w:rsid w:val="0D0606D1"/>
    <w:rsid w:val="0E0F7483"/>
    <w:rsid w:val="0EA01D9A"/>
    <w:rsid w:val="0F2B7E3D"/>
    <w:rsid w:val="0F4A0448"/>
    <w:rsid w:val="10267E38"/>
    <w:rsid w:val="10C0767E"/>
    <w:rsid w:val="10F70F5E"/>
    <w:rsid w:val="11313685"/>
    <w:rsid w:val="11B952F3"/>
    <w:rsid w:val="122C07A2"/>
    <w:rsid w:val="128D6FC9"/>
    <w:rsid w:val="13C930A9"/>
    <w:rsid w:val="1601682B"/>
    <w:rsid w:val="164A6673"/>
    <w:rsid w:val="17C02DE5"/>
    <w:rsid w:val="18F252DA"/>
    <w:rsid w:val="1A4408B5"/>
    <w:rsid w:val="1AA86917"/>
    <w:rsid w:val="1B0974A7"/>
    <w:rsid w:val="1B6A434C"/>
    <w:rsid w:val="1B6C00C4"/>
    <w:rsid w:val="1CF93DCA"/>
    <w:rsid w:val="1D425500"/>
    <w:rsid w:val="1DEF2F57"/>
    <w:rsid w:val="1E310009"/>
    <w:rsid w:val="1E532F18"/>
    <w:rsid w:val="1E727D04"/>
    <w:rsid w:val="1EA14349"/>
    <w:rsid w:val="1F0F163B"/>
    <w:rsid w:val="20D0085E"/>
    <w:rsid w:val="20E16AE2"/>
    <w:rsid w:val="215D487C"/>
    <w:rsid w:val="216B6EC2"/>
    <w:rsid w:val="21DC5877"/>
    <w:rsid w:val="21F9093D"/>
    <w:rsid w:val="22417751"/>
    <w:rsid w:val="22496D4C"/>
    <w:rsid w:val="22C04851"/>
    <w:rsid w:val="22FB3E51"/>
    <w:rsid w:val="23E34C9B"/>
    <w:rsid w:val="24B57D8C"/>
    <w:rsid w:val="24D77023"/>
    <w:rsid w:val="25247077"/>
    <w:rsid w:val="25467199"/>
    <w:rsid w:val="26231BA4"/>
    <w:rsid w:val="27683210"/>
    <w:rsid w:val="27D67089"/>
    <w:rsid w:val="281F73A4"/>
    <w:rsid w:val="28810F26"/>
    <w:rsid w:val="28855035"/>
    <w:rsid w:val="28D71ED6"/>
    <w:rsid w:val="28E07D0E"/>
    <w:rsid w:val="29534C78"/>
    <w:rsid w:val="29556CF3"/>
    <w:rsid w:val="299E7131"/>
    <w:rsid w:val="2B5B6D3D"/>
    <w:rsid w:val="2BB228BE"/>
    <w:rsid w:val="2C1874AC"/>
    <w:rsid w:val="2CCA4099"/>
    <w:rsid w:val="2D0B5D4B"/>
    <w:rsid w:val="2DEC05FC"/>
    <w:rsid w:val="2DFE7240"/>
    <w:rsid w:val="2E074870"/>
    <w:rsid w:val="2E794C76"/>
    <w:rsid w:val="2F04062A"/>
    <w:rsid w:val="2FA30C55"/>
    <w:rsid w:val="320E3234"/>
    <w:rsid w:val="32332F7E"/>
    <w:rsid w:val="32634339"/>
    <w:rsid w:val="32B26F60"/>
    <w:rsid w:val="337363CA"/>
    <w:rsid w:val="337C7F5C"/>
    <w:rsid w:val="33C65D6B"/>
    <w:rsid w:val="349917DF"/>
    <w:rsid w:val="35937A3F"/>
    <w:rsid w:val="364C1F06"/>
    <w:rsid w:val="368F6CAC"/>
    <w:rsid w:val="36FF4C08"/>
    <w:rsid w:val="373D58CC"/>
    <w:rsid w:val="37B57669"/>
    <w:rsid w:val="38331CFE"/>
    <w:rsid w:val="389E5045"/>
    <w:rsid w:val="39E75B2D"/>
    <w:rsid w:val="3B0D69E5"/>
    <w:rsid w:val="3B146188"/>
    <w:rsid w:val="3CC2593E"/>
    <w:rsid w:val="3D0A7931"/>
    <w:rsid w:val="3D181C2D"/>
    <w:rsid w:val="3D654BFB"/>
    <w:rsid w:val="3D895F5B"/>
    <w:rsid w:val="3D962014"/>
    <w:rsid w:val="3DD63C16"/>
    <w:rsid w:val="3DF2449B"/>
    <w:rsid w:val="3E1A3557"/>
    <w:rsid w:val="3F84431C"/>
    <w:rsid w:val="41EC0D67"/>
    <w:rsid w:val="42F53FE0"/>
    <w:rsid w:val="42F57C79"/>
    <w:rsid w:val="43830FB6"/>
    <w:rsid w:val="43EE1741"/>
    <w:rsid w:val="44A24F22"/>
    <w:rsid w:val="454C0423"/>
    <w:rsid w:val="45766AF2"/>
    <w:rsid w:val="46E70A10"/>
    <w:rsid w:val="47615C57"/>
    <w:rsid w:val="479152B7"/>
    <w:rsid w:val="47E30E5E"/>
    <w:rsid w:val="47EA5C92"/>
    <w:rsid w:val="48763A1A"/>
    <w:rsid w:val="48E44E8E"/>
    <w:rsid w:val="49272E24"/>
    <w:rsid w:val="4938307D"/>
    <w:rsid w:val="49AB1508"/>
    <w:rsid w:val="4A734632"/>
    <w:rsid w:val="4B124205"/>
    <w:rsid w:val="4C7C0815"/>
    <w:rsid w:val="4D0B5735"/>
    <w:rsid w:val="4D53309F"/>
    <w:rsid w:val="4D550F1B"/>
    <w:rsid w:val="4D5D520F"/>
    <w:rsid w:val="4DD5729C"/>
    <w:rsid w:val="4DE05162"/>
    <w:rsid w:val="50306AAF"/>
    <w:rsid w:val="50E90793"/>
    <w:rsid w:val="51C500E6"/>
    <w:rsid w:val="51D269B3"/>
    <w:rsid w:val="52970B83"/>
    <w:rsid w:val="52BB6C5F"/>
    <w:rsid w:val="52C17DFF"/>
    <w:rsid w:val="53704536"/>
    <w:rsid w:val="53DF5F6C"/>
    <w:rsid w:val="547C3DF0"/>
    <w:rsid w:val="56A8574D"/>
    <w:rsid w:val="590217EA"/>
    <w:rsid w:val="593110D8"/>
    <w:rsid w:val="5A581238"/>
    <w:rsid w:val="5AD7633B"/>
    <w:rsid w:val="5BFE3A0B"/>
    <w:rsid w:val="5C3362F5"/>
    <w:rsid w:val="5CA60D7A"/>
    <w:rsid w:val="5CB51A98"/>
    <w:rsid w:val="5CF728FB"/>
    <w:rsid w:val="5D435705"/>
    <w:rsid w:val="5D6B1282"/>
    <w:rsid w:val="5E927454"/>
    <w:rsid w:val="5EA0662A"/>
    <w:rsid w:val="5EAE7678"/>
    <w:rsid w:val="5ECC7AFE"/>
    <w:rsid w:val="5EFB79B3"/>
    <w:rsid w:val="5F627325"/>
    <w:rsid w:val="5F8B5C0B"/>
    <w:rsid w:val="5FEE2E84"/>
    <w:rsid w:val="60437D20"/>
    <w:rsid w:val="606E5CB4"/>
    <w:rsid w:val="60B8658C"/>
    <w:rsid w:val="61377DF9"/>
    <w:rsid w:val="61563C3E"/>
    <w:rsid w:val="61F04078"/>
    <w:rsid w:val="64C36C01"/>
    <w:rsid w:val="65CE6852"/>
    <w:rsid w:val="65E51E23"/>
    <w:rsid w:val="6609788A"/>
    <w:rsid w:val="660D3E55"/>
    <w:rsid w:val="666D0940"/>
    <w:rsid w:val="668D4017"/>
    <w:rsid w:val="66DC1BBD"/>
    <w:rsid w:val="678F5467"/>
    <w:rsid w:val="67DE00D5"/>
    <w:rsid w:val="67E84ECC"/>
    <w:rsid w:val="68C218BB"/>
    <w:rsid w:val="69184B05"/>
    <w:rsid w:val="69496739"/>
    <w:rsid w:val="69A55889"/>
    <w:rsid w:val="69C237E3"/>
    <w:rsid w:val="6A9D01A3"/>
    <w:rsid w:val="6CDF30F3"/>
    <w:rsid w:val="6D74674E"/>
    <w:rsid w:val="6F131AC6"/>
    <w:rsid w:val="6F466E52"/>
    <w:rsid w:val="6F6D4987"/>
    <w:rsid w:val="6FE03A7E"/>
    <w:rsid w:val="700E441B"/>
    <w:rsid w:val="708604AF"/>
    <w:rsid w:val="70CF71A0"/>
    <w:rsid w:val="70F11993"/>
    <w:rsid w:val="71157A1B"/>
    <w:rsid w:val="726D1B2C"/>
    <w:rsid w:val="72B117AE"/>
    <w:rsid w:val="72BC2631"/>
    <w:rsid w:val="735772D4"/>
    <w:rsid w:val="73B246E9"/>
    <w:rsid w:val="73BE089F"/>
    <w:rsid w:val="758B59B8"/>
    <w:rsid w:val="767F6B9B"/>
    <w:rsid w:val="76D20340"/>
    <w:rsid w:val="76D61494"/>
    <w:rsid w:val="76DC7B92"/>
    <w:rsid w:val="7750356B"/>
    <w:rsid w:val="78D677D9"/>
    <w:rsid w:val="78F9553C"/>
    <w:rsid w:val="7A1A4B4D"/>
    <w:rsid w:val="7AB0585B"/>
    <w:rsid w:val="7AC2141A"/>
    <w:rsid w:val="7B25086A"/>
    <w:rsid w:val="7B3E36DA"/>
    <w:rsid w:val="7B67046C"/>
    <w:rsid w:val="7BDD358D"/>
    <w:rsid w:val="7BF647DF"/>
    <w:rsid w:val="7C246D74"/>
    <w:rsid w:val="7C4B06A7"/>
    <w:rsid w:val="7CA02B3A"/>
    <w:rsid w:val="7E6D35EB"/>
    <w:rsid w:val="7EA07388"/>
    <w:rsid w:val="7FEB44B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等线" w:hAnsi="等线" w:eastAsia="等线" w:cs="Times New Roman"/>
      <w:kern w:val="2"/>
      <w:sz w:val="21"/>
      <w:szCs w:val="22"/>
      <w:lang w:val="en-US" w:eastAsia="zh-CN" w:bidi="ar-SA"/>
    </w:rPr>
  </w:style>
  <w:style w:type="paragraph" w:styleId="4">
    <w:name w:val="heading 1"/>
    <w:basedOn w:val="1"/>
    <w:next w:val="1"/>
    <w:link w:val="35"/>
    <w:qFormat/>
    <w:uiPriority w:val="0"/>
    <w:pPr>
      <w:keepNext/>
      <w:keepLines/>
      <w:spacing w:before="120" w:after="120"/>
      <w:jc w:val="center"/>
      <w:outlineLvl w:val="0"/>
    </w:pPr>
    <w:rPr>
      <w:rFonts w:ascii="Times New Roman" w:hAnsi="Times New Roman" w:eastAsia="宋体"/>
      <w:b/>
      <w:kern w:val="44"/>
      <w:sz w:val="24"/>
      <w:szCs w:val="20"/>
    </w:rPr>
  </w:style>
  <w:style w:type="paragraph" w:styleId="5">
    <w:name w:val="heading 2"/>
    <w:basedOn w:val="1"/>
    <w:next w:val="1"/>
    <w:link w:val="37"/>
    <w:unhideWhenUsed/>
    <w:qFormat/>
    <w:uiPriority w:val="9"/>
    <w:pPr>
      <w:keepNext/>
      <w:keepLines/>
      <w:spacing w:before="260" w:after="260" w:line="416" w:lineRule="auto"/>
      <w:jc w:val="center"/>
      <w:outlineLvl w:val="1"/>
    </w:pPr>
    <w:rPr>
      <w:rFonts w:asciiTheme="majorHAnsi" w:hAnsiTheme="majorHAnsi" w:eastAsiaTheme="majorEastAsia" w:cstheme="majorBidi"/>
      <w:b/>
      <w:bCs/>
      <w:sz w:val="32"/>
      <w:szCs w:val="32"/>
    </w:rPr>
  </w:style>
  <w:style w:type="paragraph" w:styleId="6">
    <w:name w:val="heading 4"/>
    <w:basedOn w:val="1"/>
    <w:next w:val="1"/>
    <w:qFormat/>
    <w:uiPriority w:val="0"/>
    <w:pPr>
      <w:keepNext/>
      <w:widowControl/>
      <w:spacing w:line="460" w:lineRule="exact"/>
      <w:outlineLvl w:val="3"/>
    </w:pPr>
    <w:rPr>
      <w:rFonts w:ascii="Cambria" w:hAnsi="Cambria"/>
      <w:b/>
      <w:bCs/>
      <w:kern w:val="0"/>
      <w:sz w:val="28"/>
      <w:szCs w:val="28"/>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34"/>
    <w:qFormat/>
    <w:uiPriority w:val="0"/>
    <w:pPr>
      <w:widowControl/>
      <w:spacing w:after="120"/>
      <w:jc w:val="left"/>
    </w:pPr>
    <w:rPr>
      <w:rFonts w:ascii="Times New Roman" w:hAnsi="Times New Roman" w:eastAsia="宋体" w:cstheme="minorBidi"/>
    </w:rPr>
  </w:style>
  <w:style w:type="paragraph" w:styleId="3">
    <w:name w:val="Body Text 2"/>
    <w:basedOn w:val="1"/>
    <w:next w:val="2"/>
    <w:qFormat/>
    <w:uiPriority w:val="0"/>
    <w:pPr>
      <w:spacing w:line="360" w:lineRule="auto"/>
    </w:pPr>
  </w:style>
  <w:style w:type="paragraph" w:styleId="7">
    <w:name w:val="toc 7"/>
    <w:basedOn w:val="1"/>
    <w:next w:val="1"/>
    <w:unhideWhenUsed/>
    <w:qFormat/>
    <w:uiPriority w:val="39"/>
    <w:pPr>
      <w:ind w:left="1260"/>
      <w:jc w:val="left"/>
    </w:pPr>
    <w:rPr>
      <w:rFonts w:asciiTheme="minorHAnsi" w:hAnsiTheme="minorHAnsi" w:cstheme="minorHAnsi"/>
      <w:sz w:val="18"/>
      <w:szCs w:val="18"/>
    </w:rPr>
  </w:style>
  <w:style w:type="paragraph" w:styleId="8">
    <w:name w:val="Normal Indent"/>
    <w:basedOn w:val="1"/>
    <w:link w:val="38"/>
    <w:qFormat/>
    <w:uiPriority w:val="0"/>
    <w:pPr>
      <w:ind w:firstLine="420"/>
    </w:pPr>
    <w:rPr>
      <w:rFonts w:ascii="Arial Unicode MS" w:hAnsi="Arial Unicode MS" w:eastAsia="仿宋_GB2312"/>
      <w:sz w:val="24"/>
      <w:szCs w:val="20"/>
    </w:rPr>
  </w:style>
  <w:style w:type="paragraph" w:styleId="9">
    <w:name w:val="Document Map"/>
    <w:basedOn w:val="1"/>
    <w:link w:val="36"/>
    <w:semiHidden/>
    <w:unhideWhenUsed/>
    <w:qFormat/>
    <w:uiPriority w:val="99"/>
    <w:rPr>
      <w:rFonts w:ascii="宋体" w:eastAsia="宋体"/>
      <w:sz w:val="18"/>
      <w:szCs w:val="18"/>
    </w:rPr>
  </w:style>
  <w:style w:type="paragraph" w:styleId="10">
    <w:name w:val="annotation text"/>
    <w:basedOn w:val="1"/>
    <w:next w:val="11"/>
    <w:link w:val="46"/>
    <w:unhideWhenUsed/>
    <w:qFormat/>
    <w:uiPriority w:val="99"/>
    <w:pPr>
      <w:jc w:val="left"/>
    </w:pPr>
  </w:style>
  <w:style w:type="paragraph" w:styleId="11">
    <w:name w:val="toc 5"/>
    <w:basedOn w:val="1"/>
    <w:next w:val="1"/>
    <w:unhideWhenUsed/>
    <w:qFormat/>
    <w:uiPriority w:val="39"/>
    <w:pPr>
      <w:ind w:left="840"/>
      <w:jc w:val="left"/>
    </w:pPr>
    <w:rPr>
      <w:rFonts w:asciiTheme="minorHAnsi" w:hAnsiTheme="minorHAnsi" w:cstheme="minorHAnsi"/>
      <w:sz w:val="18"/>
      <w:szCs w:val="18"/>
    </w:rPr>
  </w:style>
  <w:style w:type="paragraph" w:styleId="12">
    <w:name w:val="toc 3"/>
    <w:basedOn w:val="1"/>
    <w:next w:val="1"/>
    <w:unhideWhenUsed/>
    <w:qFormat/>
    <w:uiPriority w:val="39"/>
    <w:pPr>
      <w:ind w:left="420"/>
      <w:jc w:val="left"/>
    </w:pPr>
    <w:rPr>
      <w:rFonts w:asciiTheme="minorHAnsi" w:hAnsiTheme="minorHAnsi" w:cstheme="minorHAnsi"/>
      <w:i/>
      <w:iCs/>
      <w:sz w:val="20"/>
      <w:szCs w:val="20"/>
    </w:rPr>
  </w:style>
  <w:style w:type="paragraph" w:styleId="13">
    <w:name w:val="Plain Text"/>
    <w:basedOn w:val="1"/>
    <w:qFormat/>
    <w:uiPriority w:val="0"/>
    <w:rPr>
      <w:rFonts w:ascii="宋体" w:hAnsi="Courier New"/>
    </w:rPr>
  </w:style>
  <w:style w:type="paragraph" w:styleId="14">
    <w:name w:val="toc 8"/>
    <w:basedOn w:val="1"/>
    <w:next w:val="1"/>
    <w:unhideWhenUsed/>
    <w:qFormat/>
    <w:uiPriority w:val="39"/>
    <w:pPr>
      <w:ind w:left="1470"/>
      <w:jc w:val="left"/>
    </w:pPr>
    <w:rPr>
      <w:rFonts w:asciiTheme="minorHAnsi" w:hAnsiTheme="minorHAnsi" w:cstheme="minorHAnsi"/>
      <w:sz w:val="18"/>
      <w:szCs w:val="18"/>
    </w:rPr>
  </w:style>
  <w:style w:type="paragraph" w:styleId="15">
    <w:name w:val="Balloon Text"/>
    <w:basedOn w:val="1"/>
    <w:link w:val="32"/>
    <w:semiHidden/>
    <w:unhideWhenUsed/>
    <w:qFormat/>
    <w:uiPriority w:val="99"/>
    <w:rPr>
      <w:rFonts w:asciiTheme="minorHAnsi" w:hAnsiTheme="minorHAnsi" w:eastAsiaTheme="minorEastAsia" w:cstheme="minorBidi"/>
      <w:sz w:val="18"/>
      <w:szCs w:val="18"/>
    </w:rPr>
  </w:style>
  <w:style w:type="paragraph" w:styleId="16">
    <w:name w:val="footer"/>
    <w:basedOn w:val="1"/>
    <w:link w:val="3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7">
    <w:name w:val="header"/>
    <w:basedOn w:val="1"/>
    <w:link w:val="30"/>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8">
    <w:name w:val="toc 1"/>
    <w:basedOn w:val="1"/>
    <w:next w:val="1"/>
    <w:qFormat/>
    <w:uiPriority w:val="39"/>
    <w:pPr>
      <w:spacing w:before="120" w:after="120"/>
      <w:jc w:val="left"/>
    </w:pPr>
    <w:rPr>
      <w:rFonts w:asciiTheme="minorHAnsi" w:hAnsiTheme="minorHAnsi" w:cstheme="minorHAnsi"/>
      <w:b/>
      <w:bCs/>
      <w:caps/>
      <w:sz w:val="20"/>
      <w:szCs w:val="20"/>
    </w:rPr>
  </w:style>
  <w:style w:type="paragraph" w:styleId="19">
    <w:name w:val="toc 4"/>
    <w:basedOn w:val="1"/>
    <w:next w:val="1"/>
    <w:unhideWhenUsed/>
    <w:qFormat/>
    <w:uiPriority w:val="39"/>
    <w:pPr>
      <w:ind w:left="630"/>
      <w:jc w:val="left"/>
    </w:pPr>
    <w:rPr>
      <w:rFonts w:asciiTheme="minorHAnsi" w:hAnsiTheme="minorHAnsi" w:cstheme="minorHAnsi"/>
      <w:sz w:val="18"/>
      <w:szCs w:val="18"/>
    </w:rPr>
  </w:style>
  <w:style w:type="paragraph" w:styleId="20">
    <w:name w:val="toc 6"/>
    <w:basedOn w:val="1"/>
    <w:next w:val="1"/>
    <w:unhideWhenUsed/>
    <w:qFormat/>
    <w:uiPriority w:val="39"/>
    <w:pPr>
      <w:ind w:left="1050"/>
      <w:jc w:val="left"/>
    </w:pPr>
    <w:rPr>
      <w:rFonts w:asciiTheme="minorHAnsi" w:hAnsiTheme="minorHAnsi" w:cstheme="minorHAnsi"/>
      <w:sz w:val="18"/>
      <w:szCs w:val="18"/>
    </w:rPr>
  </w:style>
  <w:style w:type="paragraph" w:styleId="21">
    <w:name w:val="toc 2"/>
    <w:basedOn w:val="1"/>
    <w:next w:val="1"/>
    <w:qFormat/>
    <w:uiPriority w:val="39"/>
    <w:pPr>
      <w:ind w:left="210"/>
      <w:jc w:val="left"/>
    </w:pPr>
    <w:rPr>
      <w:rFonts w:asciiTheme="minorHAnsi" w:hAnsiTheme="minorHAnsi" w:cstheme="minorHAnsi"/>
      <w:smallCaps/>
      <w:sz w:val="20"/>
      <w:szCs w:val="20"/>
    </w:rPr>
  </w:style>
  <w:style w:type="paragraph" w:styleId="22">
    <w:name w:val="toc 9"/>
    <w:basedOn w:val="1"/>
    <w:next w:val="1"/>
    <w:unhideWhenUsed/>
    <w:qFormat/>
    <w:uiPriority w:val="39"/>
    <w:pPr>
      <w:ind w:left="1680"/>
      <w:jc w:val="left"/>
    </w:pPr>
    <w:rPr>
      <w:rFonts w:asciiTheme="minorHAnsi" w:hAnsiTheme="minorHAnsi" w:cstheme="minorHAnsi"/>
      <w:sz w:val="18"/>
      <w:szCs w:val="18"/>
    </w:rPr>
  </w:style>
  <w:style w:type="paragraph" w:styleId="23">
    <w:name w:val="annotation subject"/>
    <w:basedOn w:val="10"/>
    <w:next w:val="10"/>
    <w:link w:val="47"/>
    <w:semiHidden/>
    <w:unhideWhenUsed/>
    <w:qFormat/>
    <w:uiPriority w:val="99"/>
    <w:rPr>
      <w:b/>
      <w:bCs/>
    </w:rPr>
  </w:style>
  <w:style w:type="table" w:styleId="25">
    <w:name w:val="Table Grid"/>
    <w:basedOn w:val="24"/>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7">
    <w:name w:val="Hyperlink"/>
    <w:basedOn w:val="26"/>
    <w:qFormat/>
    <w:uiPriority w:val="99"/>
    <w:rPr>
      <w:rFonts w:cs="Times New Roman"/>
      <w:color w:val="0000FF"/>
      <w:u w:val="single"/>
    </w:rPr>
  </w:style>
  <w:style w:type="character" w:styleId="28">
    <w:name w:val="annotation reference"/>
    <w:basedOn w:val="26"/>
    <w:semiHidden/>
    <w:unhideWhenUsed/>
    <w:qFormat/>
    <w:uiPriority w:val="99"/>
    <w:rPr>
      <w:sz w:val="21"/>
      <w:szCs w:val="21"/>
    </w:rPr>
  </w:style>
  <w:style w:type="paragraph" w:customStyle="1" w:styleId="29">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character" w:customStyle="1" w:styleId="30">
    <w:name w:val="页眉 Char"/>
    <w:basedOn w:val="26"/>
    <w:link w:val="17"/>
    <w:qFormat/>
    <w:uiPriority w:val="99"/>
    <w:rPr>
      <w:sz w:val="18"/>
      <w:szCs w:val="18"/>
    </w:rPr>
  </w:style>
  <w:style w:type="character" w:customStyle="1" w:styleId="31">
    <w:name w:val="页脚 Char"/>
    <w:basedOn w:val="26"/>
    <w:link w:val="16"/>
    <w:qFormat/>
    <w:uiPriority w:val="99"/>
    <w:rPr>
      <w:sz w:val="18"/>
      <w:szCs w:val="18"/>
    </w:rPr>
  </w:style>
  <w:style w:type="character" w:customStyle="1" w:styleId="32">
    <w:name w:val="批注框文本 Char"/>
    <w:basedOn w:val="26"/>
    <w:link w:val="15"/>
    <w:semiHidden/>
    <w:qFormat/>
    <w:uiPriority w:val="99"/>
    <w:rPr>
      <w:sz w:val="18"/>
      <w:szCs w:val="18"/>
    </w:rPr>
  </w:style>
  <w:style w:type="character" w:customStyle="1" w:styleId="33">
    <w:name w:val="正文文本 Char"/>
    <w:qFormat/>
    <w:uiPriority w:val="0"/>
    <w:rPr>
      <w:rFonts w:ascii="Times New Roman" w:hAnsi="Times New Roman" w:eastAsia="宋体"/>
    </w:rPr>
  </w:style>
  <w:style w:type="character" w:customStyle="1" w:styleId="34">
    <w:name w:val="正文文本 Char1"/>
    <w:basedOn w:val="26"/>
    <w:link w:val="2"/>
    <w:semiHidden/>
    <w:qFormat/>
    <w:uiPriority w:val="99"/>
    <w:rPr>
      <w:rFonts w:ascii="等线" w:hAnsi="等线" w:eastAsia="等线" w:cs="Times New Roman"/>
    </w:rPr>
  </w:style>
  <w:style w:type="character" w:customStyle="1" w:styleId="35">
    <w:name w:val="标题 1 Char"/>
    <w:basedOn w:val="26"/>
    <w:link w:val="4"/>
    <w:qFormat/>
    <w:uiPriority w:val="0"/>
    <w:rPr>
      <w:rFonts w:ascii="Times New Roman" w:hAnsi="Times New Roman" w:eastAsia="宋体" w:cs="Times New Roman"/>
      <w:b/>
      <w:kern w:val="44"/>
      <w:sz w:val="24"/>
      <w:szCs w:val="20"/>
    </w:rPr>
  </w:style>
  <w:style w:type="character" w:customStyle="1" w:styleId="36">
    <w:name w:val="文档结构图 Char"/>
    <w:basedOn w:val="26"/>
    <w:link w:val="9"/>
    <w:semiHidden/>
    <w:qFormat/>
    <w:uiPriority w:val="99"/>
    <w:rPr>
      <w:rFonts w:ascii="宋体" w:hAnsi="等线" w:eastAsia="宋体" w:cs="Times New Roman"/>
      <w:sz w:val="18"/>
      <w:szCs w:val="18"/>
    </w:rPr>
  </w:style>
  <w:style w:type="character" w:customStyle="1" w:styleId="37">
    <w:name w:val="标题 2 Char"/>
    <w:basedOn w:val="26"/>
    <w:link w:val="5"/>
    <w:semiHidden/>
    <w:qFormat/>
    <w:uiPriority w:val="9"/>
    <w:rPr>
      <w:rFonts w:asciiTheme="majorHAnsi" w:hAnsiTheme="majorHAnsi" w:eastAsiaTheme="majorEastAsia" w:cstheme="majorBidi"/>
      <w:b/>
      <w:bCs/>
      <w:sz w:val="32"/>
      <w:szCs w:val="32"/>
    </w:rPr>
  </w:style>
  <w:style w:type="character" w:customStyle="1" w:styleId="38">
    <w:name w:val="正文缩进 Char"/>
    <w:link w:val="8"/>
    <w:qFormat/>
    <w:locked/>
    <w:uiPriority w:val="0"/>
    <w:rPr>
      <w:rFonts w:ascii="Arial Unicode MS" w:hAnsi="Arial Unicode MS" w:eastAsia="仿宋_GB2312" w:cs="Times New Roman"/>
      <w:sz w:val="24"/>
      <w:szCs w:val="20"/>
    </w:rPr>
  </w:style>
  <w:style w:type="paragraph" w:customStyle="1" w:styleId="39">
    <w:name w:val="列出段落1"/>
    <w:basedOn w:val="1"/>
    <w:qFormat/>
    <w:uiPriority w:val="34"/>
    <w:pPr>
      <w:ind w:firstLine="420" w:firstLineChars="200"/>
    </w:pPr>
    <w:rPr>
      <w:rFonts w:ascii="Times New Roman" w:hAnsi="Times New Roman" w:eastAsia="宋体"/>
      <w:szCs w:val="24"/>
    </w:rPr>
  </w:style>
  <w:style w:type="character" w:customStyle="1" w:styleId="40">
    <w:name w:val="font31"/>
    <w:basedOn w:val="26"/>
    <w:qFormat/>
    <w:uiPriority w:val="0"/>
    <w:rPr>
      <w:rFonts w:hint="eastAsia" w:ascii="仿宋" w:hAnsi="仿宋" w:eastAsia="仿宋" w:cs="仿宋"/>
      <w:color w:val="000000"/>
      <w:sz w:val="28"/>
      <w:szCs w:val="28"/>
      <w:u w:val="none"/>
    </w:rPr>
  </w:style>
  <w:style w:type="paragraph" w:customStyle="1" w:styleId="41">
    <w:name w:val="正文2"/>
    <w:basedOn w:val="1"/>
    <w:qFormat/>
    <w:uiPriority w:val="0"/>
    <w:rPr>
      <w:rFonts w:ascii="Times New Roman" w:hAnsi="Times New Roman" w:eastAsia="仿宋"/>
      <w:color w:val="000000"/>
      <w:szCs w:val="21"/>
    </w:rPr>
  </w:style>
  <w:style w:type="character" w:customStyle="1" w:styleId="42">
    <w:name w:val="NormalCharacter"/>
    <w:qFormat/>
    <w:uiPriority w:val="0"/>
  </w:style>
  <w:style w:type="paragraph" w:customStyle="1" w:styleId="43">
    <w:name w:val="图"/>
    <w:basedOn w:val="1"/>
    <w:qFormat/>
    <w:uiPriority w:val="0"/>
    <w:pPr>
      <w:keepNext/>
      <w:widowControl/>
      <w:adjustRightInd w:val="0"/>
      <w:spacing w:before="60" w:after="60" w:line="300" w:lineRule="auto"/>
      <w:jc w:val="center"/>
      <w:textAlignment w:val="center"/>
    </w:pPr>
    <w:rPr>
      <w:rFonts w:ascii="Times New Roman" w:hAnsi="Times New Roman" w:eastAsia="宋体"/>
      <w:snapToGrid w:val="0"/>
      <w:spacing w:val="20"/>
      <w:kern w:val="0"/>
      <w:sz w:val="24"/>
      <w:szCs w:val="20"/>
    </w:rPr>
  </w:style>
  <w:style w:type="paragraph" w:customStyle="1" w:styleId="44">
    <w:name w:val="*正文"/>
    <w:basedOn w:val="1"/>
    <w:qFormat/>
    <w:uiPriority w:val="0"/>
    <w:pPr>
      <w:spacing w:line="360" w:lineRule="auto"/>
      <w:ind w:firstLine="200" w:firstLineChars="200"/>
    </w:pPr>
    <w:rPr>
      <w:rFonts w:ascii="宋体" w:hAnsi="宋体"/>
      <w:kern w:val="0"/>
      <w:sz w:val="22"/>
      <w:szCs w:val="24"/>
    </w:rPr>
  </w:style>
  <w:style w:type="paragraph" w:customStyle="1" w:styleId="45">
    <w:name w:val="修订1"/>
    <w:hidden/>
    <w:semiHidden/>
    <w:qFormat/>
    <w:uiPriority w:val="99"/>
    <w:rPr>
      <w:rFonts w:ascii="等线" w:hAnsi="等线" w:eastAsia="等线" w:cs="Times New Roman"/>
      <w:kern w:val="2"/>
      <w:sz w:val="21"/>
      <w:szCs w:val="22"/>
      <w:lang w:val="en-US" w:eastAsia="zh-CN" w:bidi="ar-SA"/>
    </w:rPr>
  </w:style>
  <w:style w:type="character" w:customStyle="1" w:styleId="46">
    <w:name w:val="批注文字 Char"/>
    <w:basedOn w:val="26"/>
    <w:link w:val="10"/>
    <w:qFormat/>
    <w:uiPriority w:val="99"/>
    <w:rPr>
      <w:rFonts w:eastAsia="等线"/>
      <w:kern w:val="2"/>
      <w:sz w:val="21"/>
      <w:szCs w:val="22"/>
    </w:rPr>
  </w:style>
  <w:style w:type="character" w:customStyle="1" w:styleId="47">
    <w:name w:val="批注主题 Char"/>
    <w:basedOn w:val="46"/>
    <w:link w:val="23"/>
    <w:semiHidden/>
    <w:qFormat/>
    <w:uiPriority w:val="99"/>
    <w:rPr>
      <w:rFonts w:eastAsia="等线"/>
      <w:b/>
      <w:bCs/>
      <w:kern w:val="2"/>
      <w:sz w:val="21"/>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9659F8-E070-4BF9-A53D-CE04971F12F3}">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41</Pages>
  <Words>14279</Words>
  <Characters>15074</Characters>
  <Lines>126</Lines>
  <Paragraphs>35</Paragraphs>
  <TotalTime>11</TotalTime>
  <ScaleCrop>false</ScaleCrop>
  <LinksUpToDate>false</LinksUpToDate>
  <CharactersWithSpaces>15317</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2021-04-08T02:48:00Z</dcterms:created>
  <dc:creator>PC</dc:creator>
  <cp:lastModifiedBy>Amy</cp:lastModifiedBy>
  <cp:lastPrinted>2021-11-18T01:02:00Z</cp:lastPrinted>
  <dcterms:modified xsi:type="dcterms:W3CDTF">2023-11-24T08:46:54Z</dcterms:modified>
  <cp:revision>270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D71EEFC4823C43988150031E716C0EE1_13</vt:lpwstr>
  </property>
</Properties>
</file>